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shd w:val="clear" w:color="auto" w:fill="FFFFFF"/>
        <w:tblCellMar>
          <w:left w:w="0" w:type="dxa"/>
          <w:right w:w="0" w:type="dxa"/>
        </w:tblCellMar>
        <w:tblLook w:val="04A0" w:firstRow="1" w:lastRow="0" w:firstColumn="1" w:lastColumn="0" w:noHBand="0" w:noVBand="1"/>
      </w:tblPr>
      <w:tblGrid>
        <w:gridCol w:w="3610"/>
        <w:gridCol w:w="5246"/>
      </w:tblGrid>
      <w:tr w:rsidR="00E90E75" w:rsidRPr="00E90E75" w:rsidTr="00E90E75">
        <w:trPr>
          <w:tblCellSpacing w:w="0" w:type="dxa"/>
        </w:trPr>
        <w:tc>
          <w:tcPr>
            <w:tcW w:w="3610" w:type="dxa"/>
            <w:shd w:val="clear" w:color="auto" w:fill="FFFFFF"/>
            <w:tcMar>
              <w:top w:w="0" w:type="dxa"/>
              <w:left w:w="108" w:type="dxa"/>
              <w:bottom w:w="0" w:type="dxa"/>
              <w:right w:w="108" w:type="dxa"/>
            </w:tcMar>
            <w:hideMark/>
          </w:tcPr>
          <w:p w:rsidR="00E90E75" w:rsidRPr="00E90E75" w:rsidRDefault="00E90E75" w:rsidP="00E90E75">
            <w:pPr>
              <w:spacing w:after="120" w:line="234" w:lineRule="atLeast"/>
              <w:jc w:val="center"/>
              <w:rPr>
                <w:rFonts w:ascii="Arial" w:eastAsia="Times New Roman" w:hAnsi="Arial" w:cs="Arial"/>
                <w:color w:val="000000"/>
                <w:sz w:val="18"/>
                <w:szCs w:val="18"/>
                <w:lang w:eastAsia="vi-VN"/>
              </w:rPr>
            </w:pPr>
            <w:r w:rsidRPr="00E90E75">
              <w:rPr>
                <w:rFonts w:ascii="Arial" w:eastAsia="Times New Roman" w:hAnsi="Arial" w:cs="Arial"/>
                <w:color w:val="000000"/>
                <w:sz w:val="20"/>
                <w:szCs w:val="20"/>
                <w:lang w:val="en-US" w:eastAsia="vi-VN"/>
              </w:rPr>
              <w:t>TỔNG CỤC THUẾ</w:t>
            </w:r>
            <w:r w:rsidRPr="00E90E75">
              <w:rPr>
                <w:rFonts w:ascii="Arial" w:eastAsia="Times New Roman" w:hAnsi="Arial" w:cs="Arial"/>
                <w:color w:val="000000"/>
                <w:sz w:val="20"/>
                <w:szCs w:val="20"/>
                <w:lang w:val="en-US" w:eastAsia="vi-VN"/>
              </w:rPr>
              <w:br/>
            </w:r>
            <w:r w:rsidRPr="00E90E75">
              <w:rPr>
                <w:rFonts w:ascii="Arial" w:eastAsia="Times New Roman" w:hAnsi="Arial" w:cs="Arial"/>
                <w:b/>
                <w:bCs/>
                <w:color w:val="000000"/>
                <w:sz w:val="20"/>
                <w:szCs w:val="20"/>
                <w:lang w:val="en-US" w:eastAsia="vi-VN"/>
              </w:rPr>
              <w:t>CỤC THUẾ TP. HỒ CHÍ MINH</w:t>
            </w:r>
            <w:r w:rsidRPr="00E90E75">
              <w:rPr>
                <w:rFonts w:ascii="Arial" w:eastAsia="Times New Roman" w:hAnsi="Arial" w:cs="Arial"/>
                <w:b/>
                <w:bCs/>
                <w:color w:val="000000"/>
                <w:sz w:val="20"/>
                <w:szCs w:val="20"/>
                <w:lang w:val="en-US" w:eastAsia="vi-VN"/>
              </w:rPr>
              <w:br/>
            </w:r>
            <w:r w:rsidRPr="00E90E75">
              <w:rPr>
                <w:rFonts w:ascii="Arial" w:eastAsia="Times New Roman" w:hAnsi="Arial" w:cs="Arial"/>
                <w:color w:val="000000"/>
                <w:sz w:val="20"/>
                <w:szCs w:val="20"/>
                <w:lang w:val="en-US" w:eastAsia="vi-VN"/>
              </w:rPr>
              <w:t>--------</w:t>
            </w:r>
          </w:p>
        </w:tc>
        <w:tc>
          <w:tcPr>
            <w:tcW w:w="5246" w:type="dxa"/>
            <w:shd w:val="clear" w:color="auto" w:fill="FFFFFF"/>
            <w:tcMar>
              <w:top w:w="0" w:type="dxa"/>
              <w:left w:w="108" w:type="dxa"/>
              <w:bottom w:w="0" w:type="dxa"/>
              <w:right w:w="108" w:type="dxa"/>
            </w:tcMar>
            <w:hideMark/>
          </w:tcPr>
          <w:p w:rsidR="00E90E75" w:rsidRPr="00E90E75" w:rsidRDefault="00E90E75" w:rsidP="00E90E75">
            <w:pPr>
              <w:spacing w:after="120" w:line="234" w:lineRule="atLeast"/>
              <w:jc w:val="center"/>
              <w:rPr>
                <w:rFonts w:ascii="Arial" w:eastAsia="Times New Roman" w:hAnsi="Arial" w:cs="Arial"/>
                <w:color w:val="000000"/>
                <w:sz w:val="18"/>
                <w:szCs w:val="18"/>
                <w:lang w:eastAsia="vi-VN"/>
              </w:rPr>
            </w:pPr>
            <w:r w:rsidRPr="00E90E75">
              <w:rPr>
                <w:rFonts w:ascii="Arial" w:eastAsia="Times New Roman" w:hAnsi="Arial" w:cs="Arial"/>
                <w:b/>
                <w:bCs/>
                <w:color w:val="000000"/>
                <w:sz w:val="20"/>
                <w:szCs w:val="20"/>
                <w:lang w:eastAsia="vi-VN"/>
              </w:rPr>
              <w:t>CỘNG HÒA XÃ HỘI CHỦ NGHĨA VIỆT NAM</w:t>
            </w:r>
            <w:r w:rsidRPr="00E90E75">
              <w:rPr>
                <w:rFonts w:ascii="Arial" w:eastAsia="Times New Roman" w:hAnsi="Arial" w:cs="Arial"/>
                <w:b/>
                <w:bCs/>
                <w:color w:val="000000"/>
                <w:sz w:val="20"/>
                <w:szCs w:val="20"/>
                <w:lang w:eastAsia="vi-VN"/>
              </w:rPr>
              <w:br/>
              <w:t>Độc lập - Tự do - Hạnh phúc </w:t>
            </w:r>
            <w:r w:rsidRPr="00E90E75">
              <w:rPr>
                <w:rFonts w:ascii="Arial" w:eastAsia="Times New Roman" w:hAnsi="Arial" w:cs="Arial"/>
                <w:b/>
                <w:bCs/>
                <w:color w:val="000000"/>
                <w:sz w:val="20"/>
                <w:szCs w:val="20"/>
                <w:lang w:eastAsia="vi-VN"/>
              </w:rPr>
              <w:br/>
              <w:t>---------------</w:t>
            </w:r>
          </w:p>
        </w:tc>
      </w:tr>
      <w:tr w:rsidR="00E90E75" w:rsidRPr="00E90E75" w:rsidTr="00E90E75">
        <w:trPr>
          <w:tblCellSpacing w:w="0" w:type="dxa"/>
        </w:trPr>
        <w:tc>
          <w:tcPr>
            <w:tcW w:w="3610" w:type="dxa"/>
            <w:shd w:val="clear" w:color="auto" w:fill="FFFFFF"/>
            <w:tcMar>
              <w:top w:w="0" w:type="dxa"/>
              <w:left w:w="108" w:type="dxa"/>
              <w:bottom w:w="0" w:type="dxa"/>
              <w:right w:w="108" w:type="dxa"/>
            </w:tcMar>
            <w:hideMark/>
          </w:tcPr>
          <w:p w:rsidR="00E90E75" w:rsidRPr="00E90E75" w:rsidRDefault="00E90E75" w:rsidP="00E90E75">
            <w:pPr>
              <w:spacing w:after="120" w:line="234" w:lineRule="atLeast"/>
              <w:rPr>
                <w:rFonts w:ascii="Arial" w:eastAsia="Times New Roman" w:hAnsi="Arial" w:cs="Arial"/>
                <w:color w:val="000000"/>
                <w:sz w:val="18"/>
                <w:szCs w:val="18"/>
                <w:lang w:eastAsia="vi-VN"/>
              </w:rPr>
            </w:pPr>
            <w:r w:rsidRPr="00E90E75">
              <w:rPr>
                <w:rFonts w:ascii="Arial" w:eastAsia="Times New Roman" w:hAnsi="Arial" w:cs="Arial"/>
                <w:color w:val="000000"/>
                <w:sz w:val="20"/>
                <w:szCs w:val="20"/>
                <w:lang w:val="nl-NL" w:eastAsia="vi-VN"/>
              </w:rPr>
              <w:t>Số: 6536/CT-TTHT</w:t>
            </w:r>
            <w:r w:rsidRPr="00E90E75">
              <w:rPr>
                <w:rFonts w:ascii="Arial" w:eastAsia="Times New Roman" w:hAnsi="Arial" w:cs="Arial"/>
                <w:i/>
                <w:iCs/>
                <w:color w:val="000000"/>
                <w:sz w:val="20"/>
                <w:szCs w:val="20"/>
                <w:lang w:val="nl-NL" w:eastAsia="vi-VN"/>
              </w:rPr>
              <w:br/>
            </w:r>
            <w:r w:rsidRPr="00E90E75">
              <w:rPr>
                <w:rFonts w:ascii="Arial" w:eastAsia="Times New Roman" w:hAnsi="Arial" w:cs="Arial"/>
                <w:i/>
                <w:iCs/>
                <w:color w:val="000000"/>
                <w:sz w:val="16"/>
                <w:szCs w:val="16"/>
                <w:lang w:val="nl-NL" w:eastAsia="vi-VN"/>
              </w:rPr>
              <w:t>V/v: chính sách thuế</w:t>
            </w:r>
            <w:r w:rsidRPr="00E90E75">
              <w:rPr>
                <w:rFonts w:ascii="Arial" w:eastAsia="Times New Roman" w:hAnsi="Arial" w:cs="Arial"/>
                <w:i/>
                <w:iCs/>
                <w:color w:val="000000"/>
                <w:sz w:val="16"/>
                <w:szCs w:val="16"/>
                <w:lang w:val="en-US" w:eastAsia="vi-VN"/>
              </w:rPr>
              <w:t>.</w:t>
            </w:r>
          </w:p>
        </w:tc>
        <w:tc>
          <w:tcPr>
            <w:tcW w:w="5246" w:type="dxa"/>
            <w:shd w:val="clear" w:color="auto" w:fill="FFFFFF"/>
            <w:tcMar>
              <w:top w:w="0" w:type="dxa"/>
              <w:left w:w="108" w:type="dxa"/>
              <w:bottom w:w="0" w:type="dxa"/>
              <w:right w:w="108" w:type="dxa"/>
            </w:tcMar>
            <w:hideMark/>
          </w:tcPr>
          <w:p w:rsidR="00E90E75" w:rsidRPr="00E90E75" w:rsidRDefault="00E90E75" w:rsidP="00E90E75">
            <w:pPr>
              <w:spacing w:after="120" w:line="234" w:lineRule="atLeast"/>
              <w:jc w:val="right"/>
              <w:rPr>
                <w:rFonts w:ascii="Arial" w:eastAsia="Times New Roman" w:hAnsi="Arial" w:cs="Arial"/>
                <w:color w:val="000000"/>
                <w:sz w:val="18"/>
                <w:szCs w:val="18"/>
                <w:lang w:eastAsia="vi-VN"/>
              </w:rPr>
            </w:pPr>
            <w:r w:rsidRPr="00E90E75">
              <w:rPr>
                <w:rFonts w:ascii="Arial" w:eastAsia="Times New Roman" w:hAnsi="Arial" w:cs="Arial"/>
                <w:i/>
                <w:iCs/>
                <w:color w:val="000000"/>
                <w:sz w:val="20"/>
                <w:szCs w:val="20"/>
                <w:lang w:val="nl-NL" w:eastAsia="vi-VN"/>
              </w:rPr>
              <w:t>TP. Hồ Chí Minh, ngày 12 tháng 8 năm 2014</w:t>
            </w:r>
          </w:p>
        </w:tc>
      </w:tr>
    </w:tbl>
    <w:p w:rsidR="00E90E75" w:rsidRPr="00E90E75" w:rsidRDefault="00E90E75" w:rsidP="00E90E75">
      <w:pPr>
        <w:shd w:val="clear" w:color="auto" w:fill="FFFFFF"/>
        <w:spacing w:after="120" w:line="234" w:lineRule="atLeast"/>
        <w:rPr>
          <w:rFonts w:ascii="Arial" w:eastAsia="Times New Roman" w:hAnsi="Arial" w:cs="Arial"/>
          <w:color w:val="000000"/>
          <w:sz w:val="18"/>
          <w:szCs w:val="18"/>
          <w:lang w:eastAsia="vi-VN"/>
        </w:rPr>
      </w:pPr>
      <w:r w:rsidRPr="00E90E75">
        <w:rPr>
          <w:rFonts w:ascii="Arial" w:eastAsia="Times New Roman" w:hAnsi="Arial" w:cs="Arial"/>
          <w:color w:val="000000"/>
          <w:sz w:val="20"/>
          <w:szCs w:val="20"/>
          <w:lang w:eastAsia="vi-VN"/>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2708"/>
        <w:gridCol w:w="6148"/>
      </w:tblGrid>
      <w:tr w:rsidR="00E90E75" w:rsidRPr="00E90E75" w:rsidTr="00E90E75">
        <w:trPr>
          <w:tblCellSpacing w:w="0" w:type="dxa"/>
        </w:trPr>
        <w:tc>
          <w:tcPr>
            <w:tcW w:w="2708" w:type="dxa"/>
            <w:shd w:val="clear" w:color="auto" w:fill="FFFFFF"/>
            <w:tcMar>
              <w:top w:w="0" w:type="dxa"/>
              <w:left w:w="108" w:type="dxa"/>
              <w:bottom w:w="0" w:type="dxa"/>
              <w:right w:w="108" w:type="dxa"/>
            </w:tcMar>
            <w:hideMark/>
          </w:tcPr>
          <w:p w:rsidR="00E90E75" w:rsidRPr="00E90E75" w:rsidRDefault="00E90E75" w:rsidP="00E90E75">
            <w:pPr>
              <w:spacing w:after="120" w:line="234" w:lineRule="atLeast"/>
              <w:jc w:val="right"/>
              <w:rPr>
                <w:rFonts w:ascii="Arial" w:eastAsia="Times New Roman" w:hAnsi="Arial" w:cs="Arial"/>
                <w:color w:val="000000"/>
                <w:sz w:val="18"/>
                <w:szCs w:val="18"/>
                <w:lang w:eastAsia="vi-VN"/>
              </w:rPr>
            </w:pPr>
            <w:r w:rsidRPr="00E90E75">
              <w:rPr>
                <w:rFonts w:ascii="Arial" w:eastAsia="Times New Roman" w:hAnsi="Arial" w:cs="Arial"/>
                <w:b/>
                <w:bCs/>
                <w:color w:val="000000"/>
                <w:sz w:val="20"/>
                <w:szCs w:val="20"/>
                <w:lang w:val="en-US" w:eastAsia="vi-VN"/>
              </w:rPr>
              <w:t>Kính gửi:</w:t>
            </w:r>
          </w:p>
        </w:tc>
        <w:tc>
          <w:tcPr>
            <w:tcW w:w="6148" w:type="dxa"/>
            <w:shd w:val="clear" w:color="auto" w:fill="FFFFFF"/>
            <w:tcMar>
              <w:top w:w="0" w:type="dxa"/>
              <w:left w:w="108" w:type="dxa"/>
              <w:bottom w:w="0" w:type="dxa"/>
              <w:right w:w="108" w:type="dxa"/>
            </w:tcMar>
            <w:hideMark/>
          </w:tcPr>
          <w:p w:rsidR="00E90E75" w:rsidRPr="00E90E75" w:rsidRDefault="00E90E75" w:rsidP="00E90E75">
            <w:pPr>
              <w:spacing w:after="120" w:line="234" w:lineRule="atLeast"/>
              <w:rPr>
                <w:rFonts w:ascii="Arial" w:eastAsia="Times New Roman" w:hAnsi="Arial" w:cs="Arial"/>
                <w:color w:val="000000"/>
                <w:sz w:val="18"/>
                <w:szCs w:val="18"/>
                <w:lang w:eastAsia="vi-VN"/>
              </w:rPr>
            </w:pPr>
            <w:r w:rsidRPr="00E90E75">
              <w:rPr>
                <w:rFonts w:ascii="Arial" w:eastAsia="Times New Roman" w:hAnsi="Arial" w:cs="Arial"/>
                <w:color w:val="000000"/>
                <w:sz w:val="20"/>
                <w:szCs w:val="20"/>
                <w:lang w:val="nl-NL" w:eastAsia="vi-VN"/>
              </w:rPr>
              <w:t>Công Ty TNHH TBS Việt Nam</w:t>
            </w:r>
            <w:r w:rsidRPr="00E90E75">
              <w:rPr>
                <w:rFonts w:ascii="Arial" w:eastAsia="Times New Roman" w:hAnsi="Arial" w:cs="Arial"/>
                <w:color w:val="000000"/>
                <w:sz w:val="20"/>
                <w:szCs w:val="20"/>
                <w:lang w:val="nl-NL" w:eastAsia="vi-VN"/>
              </w:rPr>
              <w:br/>
              <w:t>Địa chỉ: 87 Mạc Thị Bưởi, P. Bến Nghé, Q.1, TP.HCM</w:t>
            </w:r>
            <w:r w:rsidRPr="00E90E75">
              <w:rPr>
                <w:rFonts w:ascii="Arial" w:eastAsia="Times New Roman" w:hAnsi="Arial" w:cs="Arial"/>
                <w:color w:val="000000"/>
                <w:sz w:val="20"/>
                <w:szCs w:val="20"/>
                <w:lang w:val="nl-NL" w:eastAsia="vi-VN"/>
              </w:rPr>
              <w:br/>
              <w:t>Mã số thuế: 0306717450</w:t>
            </w:r>
          </w:p>
        </w:tc>
      </w:tr>
    </w:tbl>
    <w:p w:rsidR="00E90E75" w:rsidRPr="00E90E75" w:rsidRDefault="00E90E75" w:rsidP="00E90E75">
      <w:pPr>
        <w:shd w:val="clear" w:color="auto" w:fill="FFFFFF"/>
        <w:spacing w:after="120" w:line="234" w:lineRule="atLeast"/>
        <w:rPr>
          <w:rFonts w:ascii="Arial" w:eastAsia="Times New Roman" w:hAnsi="Arial" w:cs="Arial"/>
          <w:color w:val="000000"/>
          <w:sz w:val="18"/>
          <w:szCs w:val="18"/>
          <w:lang w:eastAsia="vi-VN"/>
        </w:rPr>
      </w:pPr>
      <w:r w:rsidRPr="00E90E75">
        <w:rPr>
          <w:rFonts w:ascii="Arial" w:eastAsia="Times New Roman" w:hAnsi="Arial" w:cs="Arial"/>
          <w:color w:val="000000"/>
          <w:sz w:val="20"/>
          <w:szCs w:val="20"/>
          <w:lang w:val="nl-NL" w:eastAsia="vi-VN"/>
        </w:rPr>
        <w:t>Trả lời văn thư số 0108/14/TBS ngày 09/07/2014 của Công ty về chính sách thuế, Cục Thuế TP có ý kiến như sau:</w:t>
      </w:r>
    </w:p>
    <w:p w:rsidR="00E90E75" w:rsidRPr="00E90E75" w:rsidRDefault="00E90E75" w:rsidP="00E90E75">
      <w:pPr>
        <w:shd w:val="clear" w:color="auto" w:fill="FFFFFF"/>
        <w:spacing w:after="0" w:line="234" w:lineRule="atLeast"/>
        <w:rPr>
          <w:rFonts w:ascii="Arial" w:eastAsia="Times New Roman" w:hAnsi="Arial" w:cs="Arial"/>
          <w:color w:val="000000"/>
          <w:sz w:val="18"/>
          <w:szCs w:val="18"/>
          <w:lang w:eastAsia="vi-VN"/>
        </w:rPr>
      </w:pPr>
      <w:r w:rsidRPr="00E90E75">
        <w:rPr>
          <w:rFonts w:ascii="Arial" w:eastAsia="Times New Roman" w:hAnsi="Arial" w:cs="Arial"/>
          <w:color w:val="000000"/>
          <w:sz w:val="20"/>
          <w:szCs w:val="20"/>
          <w:lang w:val="nl-NL" w:eastAsia="vi-VN"/>
        </w:rPr>
        <w:t>Căn cứ Thông tư số Thông tư </w:t>
      </w:r>
      <w:hyperlink r:id="rId6" w:tgtFrame="_blank" w:history="1">
        <w:r w:rsidRPr="00E90E75">
          <w:rPr>
            <w:rFonts w:ascii="Arial" w:eastAsia="Times New Roman" w:hAnsi="Arial" w:cs="Arial"/>
            <w:color w:val="0E70C3"/>
            <w:sz w:val="20"/>
            <w:szCs w:val="20"/>
            <w:lang w:val="nl-NL" w:eastAsia="vi-VN"/>
          </w:rPr>
          <w:t>219/2013/TT-BTC</w:t>
        </w:r>
      </w:hyperlink>
      <w:r w:rsidRPr="00E90E75">
        <w:rPr>
          <w:rFonts w:ascii="Arial" w:eastAsia="Times New Roman" w:hAnsi="Arial" w:cs="Arial"/>
          <w:color w:val="000000"/>
          <w:sz w:val="20"/>
          <w:szCs w:val="20"/>
          <w:lang w:val="nl-NL" w:eastAsia="vi-VN"/>
        </w:rPr>
        <w:t> ngày 31/12/2013 của Bộ Tài Chính hướng dẫn về thuế giá trị gia tăng (GTGT):</w:t>
      </w:r>
    </w:p>
    <w:p w:rsidR="00E90E75" w:rsidRPr="00E90E75" w:rsidRDefault="00E90E75" w:rsidP="00E90E75">
      <w:pPr>
        <w:shd w:val="clear" w:color="auto" w:fill="FFFFFF"/>
        <w:spacing w:after="120" w:line="234" w:lineRule="atLeast"/>
        <w:rPr>
          <w:rFonts w:ascii="Arial" w:eastAsia="Times New Roman" w:hAnsi="Arial" w:cs="Arial"/>
          <w:color w:val="000000"/>
          <w:sz w:val="18"/>
          <w:szCs w:val="18"/>
          <w:lang w:eastAsia="vi-VN"/>
        </w:rPr>
      </w:pPr>
      <w:r w:rsidRPr="00E90E75">
        <w:rPr>
          <w:rFonts w:ascii="Arial" w:eastAsia="Times New Roman" w:hAnsi="Arial" w:cs="Arial"/>
          <w:color w:val="000000"/>
          <w:sz w:val="20"/>
          <w:szCs w:val="20"/>
          <w:lang w:val="nl-NL" w:eastAsia="vi-VN"/>
        </w:rPr>
        <w:t>- Tại Khoản 9 Điều 14 quy định nguyên tắc khấu trừ thuế giá trị gia tăng đầu vào:</w:t>
      </w:r>
    </w:p>
    <w:p w:rsidR="00E90E75" w:rsidRPr="00E90E75" w:rsidRDefault="00E90E75" w:rsidP="00E90E75">
      <w:pPr>
        <w:shd w:val="clear" w:color="auto" w:fill="FFFFFF"/>
        <w:spacing w:after="120" w:line="234" w:lineRule="atLeast"/>
        <w:rPr>
          <w:rFonts w:ascii="Arial" w:eastAsia="Times New Roman" w:hAnsi="Arial" w:cs="Arial"/>
          <w:color w:val="000000"/>
          <w:sz w:val="18"/>
          <w:szCs w:val="18"/>
          <w:lang w:eastAsia="vi-VN"/>
        </w:rPr>
      </w:pPr>
      <w:r w:rsidRPr="00E90E75">
        <w:rPr>
          <w:rFonts w:ascii="Arial" w:eastAsia="Times New Roman" w:hAnsi="Arial" w:cs="Arial"/>
          <w:color w:val="000000"/>
          <w:sz w:val="20"/>
          <w:szCs w:val="20"/>
          <w:lang w:val="nl-NL" w:eastAsia="vi-VN"/>
        </w:rPr>
        <w:t>“</w:t>
      </w:r>
      <w:r w:rsidRPr="00E90E75">
        <w:rPr>
          <w:rFonts w:ascii="Arial" w:eastAsia="Times New Roman" w:hAnsi="Arial" w:cs="Arial"/>
          <w:color w:val="000000"/>
          <w:sz w:val="20"/>
          <w:szCs w:val="20"/>
          <w:lang w:eastAsia="vi-VN"/>
        </w:rPr>
        <w:t>Số thuế GTGT đầu vào không được khấu trừ, cơ sở kinh doanh được hạch toán vào chi phí để tính thuế thu nhập doanh nghiệp hoặc tính vào nguyên giá của tài sản cố định, trừ số thuế GTGT của</w:t>
      </w:r>
      <w:r w:rsidRPr="00E90E75">
        <w:rPr>
          <w:rFonts w:ascii="Arial" w:eastAsia="Times New Roman" w:hAnsi="Arial" w:cs="Arial"/>
          <w:color w:val="000000"/>
          <w:sz w:val="20"/>
          <w:szCs w:val="20"/>
          <w:lang w:val="am-ET" w:eastAsia="vi-VN"/>
        </w:rPr>
        <w:t> hàng hoá, dịch vụ </w:t>
      </w:r>
      <w:r w:rsidRPr="00E90E75">
        <w:rPr>
          <w:rFonts w:ascii="Arial" w:eastAsia="Times New Roman" w:hAnsi="Arial" w:cs="Arial"/>
          <w:color w:val="000000"/>
          <w:sz w:val="20"/>
          <w:szCs w:val="20"/>
          <w:lang w:eastAsia="vi-VN"/>
        </w:rPr>
        <w:t>mua vào </w:t>
      </w:r>
      <w:r w:rsidRPr="00E90E75">
        <w:rPr>
          <w:rFonts w:ascii="Arial" w:eastAsia="Times New Roman" w:hAnsi="Arial" w:cs="Arial"/>
          <w:color w:val="000000"/>
          <w:sz w:val="20"/>
          <w:szCs w:val="20"/>
          <w:lang w:val="am-ET" w:eastAsia="vi-VN"/>
        </w:rPr>
        <w:t>từng lần có giá trị từ hai mươi triệu đồng trở lên </w:t>
      </w:r>
      <w:r w:rsidRPr="00E90E75">
        <w:rPr>
          <w:rFonts w:ascii="Arial" w:eastAsia="Times New Roman" w:hAnsi="Arial" w:cs="Arial"/>
          <w:color w:val="000000"/>
          <w:sz w:val="20"/>
          <w:szCs w:val="20"/>
          <w:lang w:eastAsia="vi-VN"/>
        </w:rPr>
        <w:t>không</w:t>
      </w:r>
      <w:r w:rsidRPr="00E90E75">
        <w:rPr>
          <w:rFonts w:ascii="Arial" w:eastAsia="Times New Roman" w:hAnsi="Arial" w:cs="Arial"/>
          <w:color w:val="000000"/>
          <w:sz w:val="20"/>
          <w:szCs w:val="20"/>
          <w:lang w:val="am-ET" w:eastAsia="vi-VN"/>
        </w:rPr>
        <w:t> có chứng từ thanh toán không dùng tiền mặt</w:t>
      </w:r>
      <w:r w:rsidRPr="00E90E75">
        <w:rPr>
          <w:rFonts w:ascii="Arial" w:eastAsia="Times New Roman" w:hAnsi="Arial" w:cs="Arial"/>
          <w:color w:val="000000"/>
          <w:sz w:val="20"/>
          <w:szCs w:val="20"/>
          <w:lang w:eastAsia="vi-VN"/>
        </w:rPr>
        <w:t>.</w:t>
      </w:r>
      <w:r w:rsidRPr="00E90E75">
        <w:rPr>
          <w:rFonts w:ascii="Arial" w:eastAsia="Times New Roman" w:hAnsi="Arial" w:cs="Arial"/>
          <w:color w:val="000000"/>
          <w:sz w:val="20"/>
          <w:szCs w:val="20"/>
          <w:lang w:val="nl-NL" w:eastAsia="vi-VN"/>
        </w:rPr>
        <w:t>”</w:t>
      </w:r>
    </w:p>
    <w:p w:rsidR="00E90E75" w:rsidRPr="00E90E75" w:rsidRDefault="00E90E75" w:rsidP="00E90E75">
      <w:pPr>
        <w:shd w:val="clear" w:color="auto" w:fill="FFFFFF"/>
        <w:spacing w:after="120" w:line="234" w:lineRule="atLeast"/>
        <w:rPr>
          <w:rFonts w:ascii="Arial" w:eastAsia="Times New Roman" w:hAnsi="Arial" w:cs="Arial"/>
          <w:color w:val="000000"/>
          <w:sz w:val="18"/>
          <w:szCs w:val="18"/>
          <w:lang w:eastAsia="vi-VN"/>
        </w:rPr>
      </w:pPr>
      <w:r w:rsidRPr="00E90E75">
        <w:rPr>
          <w:rFonts w:ascii="Arial" w:eastAsia="Times New Roman" w:hAnsi="Arial" w:cs="Arial"/>
          <w:color w:val="000000"/>
          <w:sz w:val="20"/>
          <w:szCs w:val="20"/>
          <w:lang w:val="nl-NL" w:eastAsia="vi-VN"/>
        </w:rPr>
        <w:t>- Tại Khoản 1 Điều 15 quy định điều kiện khấu trừ thuế GTGT đầu vào</w:t>
      </w:r>
    </w:p>
    <w:p w:rsidR="00E90E75" w:rsidRPr="00E90E75" w:rsidRDefault="00E90E75" w:rsidP="00E90E75">
      <w:pPr>
        <w:shd w:val="clear" w:color="auto" w:fill="FFFFFF"/>
        <w:spacing w:after="120" w:line="234" w:lineRule="atLeast"/>
        <w:rPr>
          <w:rFonts w:ascii="Arial" w:eastAsia="Times New Roman" w:hAnsi="Arial" w:cs="Arial"/>
          <w:color w:val="000000"/>
          <w:sz w:val="18"/>
          <w:szCs w:val="18"/>
          <w:lang w:eastAsia="vi-VN"/>
        </w:rPr>
      </w:pPr>
      <w:r w:rsidRPr="00E90E75">
        <w:rPr>
          <w:rFonts w:ascii="Arial" w:eastAsia="Times New Roman" w:hAnsi="Arial" w:cs="Arial"/>
          <w:color w:val="000000"/>
          <w:sz w:val="20"/>
          <w:szCs w:val="20"/>
          <w:lang w:val="nl-NL" w:eastAsia="vi-VN"/>
        </w:rPr>
        <w:t>“</w:t>
      </w:r>
      <w:r w:rsidRPr="00E90E75">
        <w:rPr>
          <w:rFonts w:ascii="Arial" w:eastAsia="Times New Roman" w:hAnsi="Arial" w:cs="Arial"/>
          <w:color w:val="000000"/>
          <w:sz w:val="20"/>
          <w:szCs w:val="20"/>
          <w:lang w:eastAsia="vi-VN"/>
        </w:rPr>
        <w:t>Có hoá đơn giá trị gia tăng hợp pháp của hàng hoá, dịch vụ mua vào hoặc chứng từ nộp thuế giá trị gia tăng khâu nhập khẩu hoặc chứng từ nộp thuế GTGT thay cho phía nước ngoài theo hướng dẫn của Bộ Tài chính áp dụng đối với các tổ chức nước ngoài không có tư cách pháp nhân Việt Nam và cá nhân nước ngoài kinh doanh hoặc có thu nhập phát sinh tại Việt Nam.</w:t>
      </w:r>
    </w:p>
    <w:p w:rsidR="00E90E75" w:rsidRPr="00E90E75" w:rsidRDefault="00E90E75" w:rsidP="00E90E75">
      <w:pPr>
        <w:shd w:val="clear" w:color="auto" w:fill="FFFFFF"/>
        <w:spacing w:after="120" w:line="234" w:lineRule="atLeast"/>
        <w:rPr>
          <w:rFonts w:ascii="Arial" w:eastAsia="Times New Roman" w:hAnsi="Arial" w:cs="Arial"/>
          <w:color w:val="000000"/>
          <w:sz w:val="18"/>
          <w:szCs w:val="18"/>
          <w:lang w:eastAsia="vi-VN"/>
        </w:rPr>
      </w:pPr>
      <w:r w:rsidRPr="00E90E75">
        <w:rPr>
          <w:rFonts w:ascii="Arial" w:eastAsia="Times New Roman" w:hAnsi="Arial" w:cs="Arial"/>
          <w:color w:val="000000"/>
          <w:sz w:val="20"/>
          <w:szCs w:val="20"/>
          <w:lang w:val="nl-NL" w:eastAsia="vi-VN"/>
        </w:rPr>
        <w:t>…”</w:t>
      </w:r>
    </w:p>
    <w:p w:rsidR="00E90E75" w:rsidRPr="00E90E75" w:rsidRDefault="00E90E75" w:rsidP="00E90E75">
      <w:pPr>
        <w:shd w:val="clear" w:color="auto" w:fill="FFFFFF"/>
        <w:spacing w:after="0" w:line="234" w:lineRule="atLeast"/>
        <w:rPr>
          <w:rFonts w:ascii="Arial" w:eastAsia="Times New Roman" w:hAnsi="Arial" w:cs="Arial"/>
          <w:color w:val="000000"/>
          <w:sz w:val="18"/>
          <w:szCs w:val="18"/>
          <w:lang w:eastAsia="vi-VN"/>
        </w:rPr>
      </w:pPr>
      <w:r w:rsidRPr="00E90E75">
        <w:rPr>
          <w:rFonts w:ascii="Arial" w:eastAsia="Times New Roman" w:hAnsi="Arial" w:cs="Arial"/>
          <w:color w:val="000000"/>
          <w:sz w:val="20"/>
          <w:szCs w:val="20"/>
          <w:lang w:val="nl-NL" w:eastAsia="vi-VN"/>
        </w:rPr>
        <w:t>Căn cứ Thông tư số </w:t>
      </w:r>
      <w:hyperlink r:id="rId7" w:tgtFrame="_blank" w:history="1">
        <w:r w:rsidRPr="00E90E75">
          <w:rPr>
            <w:rFonts w:ascii="Arial" w:eastAsia="Times New Roman" w:hAnsi="Arial" w:cs="Arial"/>
            <w:color w:val="0E70C3"/>
            <w:sz w:val="20"/>
            <w:szCs w:val="20"/>
            <w:lang w:val="nl-NL" w:eastAsia="vi-VN"/>
          </w:rPr>
          <w:t>78/2014/TT-BTC</w:t>
        </w:r>
      </w:hyperlink>
      <w:r w:rsidRPr="00E90E75">
        <w:rPr>
          <w:rFonts w:ascii="Arial" w:eastAsia="Times New Roman" w:hAnsi="Arial" w:cs="Arial"/>
          <w:color w:val="000000"/>
          <w:sz w:val="20"/>
          <w:szCs w:val="20"/>
          <w:lang w:val="nl-NL" w:eastAsia="vi-VN"/>
        </w:rPr>
        <w:t> ngày 18/06/2014 của Bộ Tài Chính hướng dẫn về thuế thu nhập doanh nghiệp (có hiệu lực từ ngày 02/08/2014 và áp dụng cho kỳ tính thuế TNDN từ năm 2014 trở đi)</w:t>
      </w:r>
    </w:p>
    <w:p w:rsidR="00E90E75" w:rsidRPr="00E90E75" w:rsidRDefault="00E90E75" w:rsidP="00E90E75">
      <w:pPr>
        <w:shd w:val="clear" w:color="auto" w:fill="FFFFFF"/>
        <w:spacing w:after="120" w:line="234" w:lineRule="atLeast"/>
        <w:rPr>
          <w:rFonts w:ascii="Arial" w:eastAsia="Times New Roman" w:hAnsi="Arial" w:cs="Arial"/>
          <w:color w:val="000000"/>
          <w:sz w:val="18"/>
          <w:szCs w:val="18"/>
          <w:lang w:eastAsia="vi-VN"/>
        </w:rPr>
      </w:pPr>
      <w:r w:rsidRPr="00E90E75">
        <w:rPr>
          <w:rFonts w:ascii="Arial" w:eastAsia="Times New Roman" w:hAnsi="Arial" w:cs="Arial"/>
          <w:color w:val="000000"/>
          <w:sz w:val="20"/>
          <w:szCs w:val="20"/>
          <w:lang w:val="nl-NL" w:eastAsia="vi-VN"/>
        </w:rPr>
        <w:t>- Tại Khoản 1 Điều 6 quy định các khoản chi được trừ khi xác định thu nhập chịu thuế:</w:t>
      </w:r>
    </w:p>
    <w:p w:rsidR="00E90E75" w:rsidRPr="00E90E75" w:rsidRDefault="00E90E75" w:rsidP="00E90E75">
      <w:pPr>
        <w:shd w:val="clear" w:color="auto" w:fill="FFFFFF"/>
        <w:spacing w:after="120" w:line="234" w:lineRule="atLeast"/>
        <w:rPr>
          <w:rFonts w:ascii="Arial" w:eastAsia="Times New Roman" w:hAnsi="Arial" w:cs="Arial"/>
          <w:color w:val="000000"/>
          <w:sz w:val="18"/>
          <w:szCs w:val="18"/>
          <w:lang w:eastAsia="vi-VN"/>
        </w:rPr>
      </w:pPr>
      <w:r w:rsidRPr="00E90E75">
        <w:rPr>
          <w:rFonts w:ascii="Arial" w:eastAsia="Times New Roman" w:hAnsi="Arial" w:cs="Arial"/>
          <w:color w:val="000000"/>
          <w:sz w:val="20"/>
          <w:szCs w:val="20"/>
          <w:lang w:val="nl-NL" w:eastAsia="vi-VN"/>
        </w:rPr>
        <w:t>“</w:t>
      </w:r>
      <w:r w:rsidRPr="00E90E75">
        <w:rPr>
          <w:rFonts w:ascii="Arial" w:eastAsia="Times New Roman" w:hAnsi="Arial" w:cs="Arial"/>
          <w:color w:val="000000"/>
          <w:sz w:val="20"/>
          <w:szCs w:val="20"/>
          <w:lang w:eastAsia="vi-VN"/>
        </w:rPr>
        <w:t>Trừ các khoản chi </w:t>
      </w:r>
      <w:r w:rsidRPr="00E90E75">
        <w:rPr>
          <w:rFonts w:ascii="Arial" w:eastAsia="Times New Roman" w:hAnsi="Arial" w:cs="Arial"/>
          <w:color w:val="000000"/>
          <w:sz w:val="20"/>
          <w:szCs w:val="20"/>
          <w:lang w:val="nl-NL" w:eastAsia="vi-VN"/>
        </w:rPr>
        <w:t>không được trừ </w:t>
      </w:r>
      <w:r w:rsidRPr="00E90E75">
        <w:rPr>
          <w:rFonts w:ascii="Arial" w:eastAsia="Times New Roman" w:hAnsi="Arial" w:cs="Arial"/>
          <w:color w:val="000000"/>
          <w:sz w:val="20"/>
          <w:szCs w:val="20"/>
          <w:lang w:eastAsia="vi-VN"/>
        </w:rPr>
        <w:t>nêu tại Khoản 2 Điều này, doanh nghiệp được trừ mọi khoản chi nếu đáp ứng đủ các điều kiện sau:</w:t>
      </w:r>
    </w:p>
    <w:p w:rsidR="00E90E75" w:rsidRPr="00E90E75" w:rsidRDefault="00E90E75" w:rsidP="00E90E75">
      <w:pPr>
        <w:shd w:val="clear" w:color="auto" w:fill="FFFFFF"/>
        <w:spacing w:after="120" w:line="234" w:lineRule="atLeast"/>
        <w:rPr>
          <w:rFonts w:ascii="Arial" w:eastAsia="Times New Roman" w:hAnsi="Arial" w:cs="Arial"/>
          <w:color w:val="000000"/>
          <w:sz w:val="18"/>
          <w:szCs w:val="18"/>
          <w:lang w:eastAsia="vi-VN"/>
        </w:rPr>
      </w:pPr>
      <w:r w:rsidRPr="00E90E75">
        <w:rPr>
          <w:rFonts w:ascii="Arial" w:eastAsia="Times New Roman" w:hAnsi="Arial" w:cs="Arial"/>
          <w:color w:val="000000"/>
          <w:sz w:val="20"/>
          <w:szCs w:val="20"/>
          <w:lang w:eastAsia="vi-VN"/>
        </w:rPr>
        <w:t>a) Khoản chi thực tế phát sinh liên quan đến hoạt động sản xuất, kinh doanh của doanh nghiệp;</w:t>
      </w:r>
    </w:p>
    <w:p w:rsidR="00E90E75" w:rsidRPr="00E90E75" w:rsidRDefault="00E90E75" w:rsidP="00E90E75">
      <w:pPr>
        <w:shd w:val="clear" w:color="auto" w:fill="FFFFFF"/>
        <w:spacing w:after="120" w:line="234" w:lineRule="atLeast"/>
        <w:rPr>
          <w:rFonts w:ascii="Arial" w:eastAsia="Times New Roman" w:hAnsi="Arial" w:cs="Arial"/>
          <w:color w:val="000000"/>
          <w:sz w:val="18"/>
          <w:szCs w:val="18"/>
          <w:lang w:eastAsia="vi-VN"/>
        </w:rPr>
      </w:pPr>
      <w:r w:rsidRPr="00E90E75">
        <w:rPr>
          <w:rFonts w:ascii="Arial" w:eastAsia="Times New Roman" w:hAnsi="Arial" w:cs="Arial"/>
          <w:color w:val="000000"/>
          <w:spacing w:val="-6"/>
          <w:sz w:val="20"/>
          <w:szCs w:val="20"/>
          <w:lang w:eastAsia="vi-VN"/>
        </w:rPr>
        <w:t>b) Khoản chi có đủ hoá đơn, chứng từ hợp pháp theo quy định của pháp luật.</w:t>
      </w:r>
    </w:p>
    <w:p w:rsidR="00E90E75" w:rsidRPr="00E90E75" w:rsidRDefault="00E90E75" w:rsidP="00E90E75">
      <w:pPr>
        <w:shd w:val="clear" w:color="auto" w:fill="FFFFFF"/>
        <w:spacing w:after="120" w:line="234" w:lineRule="atLeast"/>
        <w:rPr>
          <w:rFonts w:ascii="Arial" w:eastAsia="Times New Roman" w:hAnsi="Arial" w:cs="Arial"/>
          <w:color w:val="000000"/>
          <w:sz w:val="18"/>
          <w:szCs w:val="18"/>
          <w:lang w:eastAsia="vi-VN"/>
        </w:rPr>
      </w:pPr>
      <w:r w:rsidRPr="00E90E75">
        <w:rPr>
          <w:rFonts w:ascii="Arial" w:eastAsia="Times New Roman" w:hAnsi="Arial" w:cs="Arial"/>
          <w:color w:val="000000"/>
          <w:spacing w:val="-6"/>
          <w:sz w:val="20"/>
          <w:szCs w:val="20"/>
          <w:lang w:eastAsia="vi-VN"/>
        </w:rPr>
        <w:t>c) </w:t>
      </w:r>
      <w:r w:rsidRPr="00E90E75">
        <w:rPr>
          <w:rFonts w:ascii="Arial" w:eastAsia="Times New Roman" w:hAnsi="Arial" w:cs="Arial"/>
          <w:color w:val="000000"/>
          <w:sz w:val="20"/>
          <w:szCs w:val="20"/>
          <w:lang w:val="pl-PL" w:eastAsia="vi-VN"/>
        </w:rPr>
        <w:t>Khoản chi nếu có hoá đơn mua hàng hoá, dịch vụ từng lần có giá trị từ 20 triệu đồng trở lên (giá đã bao gồm thuế GTGT) khi thanh toán phải có chứng từ thanh toán không dùng tiền mặt.</w:t>
      </w:r>
    </w:p>
    <w:p w:rsidR="00E90E75" w:rsidRPr="00E90E75" w:rsidRDefault="00E90E75" w:rsidP="00E90E75">
      <w:pPr>
        <w:shd w:val="clear" w:color="auto" w:fill="FFFFFF"/>
        <w:spacing w:after="120" w:line="234" w:lineRule="atLeast"/>
        <w:rPr>
          <w:rFonts w:ascii="Arial" w:eastAsia="Times New Roman" w:hAnsi="Arial" w:cs="Arial"/>
          <w:color w:val="000000"/>
          <w:sz w:val="18"/>
          <w:szCs w:val="18"/>
          <w:lang w:eastAsia="vi-VN"/>
        </w:rPr>
      </w:pPr>
      <w:r w:rsidRPr="00E90E75">
        <w:rPr>
          <w:rFonts w:ascii="Arial" w:eastAsia="Times New Roman" w:hAnsi="Arial" w:cs="Arial"/>
          <w:color w:val="000000"/>
          <w:sz w:val="20"/>
          <w:szCs w:val="20"/>
          <w:lang w:val="pl-PL" w:eastAsia="vi-VN"/>
        </w:rPr>
        <w:t>...”</w:t>
      </w:r>
    </w:p>
    <w:p w:rsidR="00E90E75" w:rsidRPr="00E90E75" w:rsidRDefault="00E90E75" w:rsidP="00E90E75">
      <w:pPr>
        <w:shd w:val="clear" w:color="auto" w:fill="FFFFFF"/>
        <w:spacing w:after="120" w:line="234" w:lineRule="atLeast"/>
        <w:rPr>
          <w:rFonts w:ascii="Arial" w:eastAsia="Times New Roman" w:hAnsi="Arial" w:cs="Arial"/>
          <w:color w:val="000000"/>
          <w:sz w:val="18"/>
          <w:szCs w:val="18"/>
          <w:lang w:eastAsia="vi-VN"/>
        </w:rPr>
      </w:pPr>
      <w:r w:rsidRPr="00E90E75">
        <w:rPr>
          <w:rFonts w:ascii="Arial" w:eastAsia="Times New Roman" w:hAnsi="Arial" w:cs="Arial"/>
          <w:color w:val="000000"/>
          <w:sz w:val="20"/>
          <w:szCs w:val="20"/>
          <w:lang w:val="nl-NL" w:eastAsia="vi-VN"/>
        </w:rPr>
        <w:t>- Tại Khoản 2.15 Điều 6 chi quy định các khoản chi không được trừ khi xác định thu nhập chịu thuế:</w:t>
      </w:r>
    </w:p>
    <w:p w:rsidR="00E90E75" w:rsidRPr="00E90E75" w:rsidRDefault="00E90E75" w:rsidP="00E90E75">
      <w:pPr>
        <w:shd w:val="clear" w:color="auto" w:fill="FFFFFF"/>
        <w:spacing w:after="120" w:line="234" w:lineRule="atLeast"/>
        <w:rPr>
          <w:rFonts w:ascii="Arial" w:eastAsia="Times New Roman" w:hAnsi="Arial" w:cs="Arial"/>
          <w:color w:val="000000"/>
          <w:sz w:val="18"/>
          <w:szCs w:val="18"/>
          <w:lang w:eastAsia="vi-VN"/>
        </w:rPr>
      </w:pPr>
      <w:r w:rsidRPr="00E90E75">
        <w:rPr>
          <w:rFonts w:ascii="Arial" w:eastAsia="Times New Roman" w:hAnsi="Arial" w:cs="Arial"/>
          <w:color w:val="000000"/>
          <w:sz w:val="20"/>
          <w:szCs w:val="20"/>
          <w:lang w:val="nl-NL" w:eastAsia="vi-VN"/>
        </w:rPr>
        <w:t>“</w:t>
      </w:r>
      <w:r w:rsidRPr="00E90E75">
        <w:rPr>
          <w:rFonts w:ascii="Arial" w:eastAsia="Times New Roman" w:hAnsi="Arial" w:cs="Arial"/>
          <w:color w:val="000000"/>
          <w:sz w:val="20"/>
          <w:szCs w:val="20"/>
          <w:lang w:eastAsia="vi-VN"/>
        </w:rPr>
        <w:t>Chi trả tiền điện, tiền nước đối với những hợp đồng điện nước do chủ sở hữu là hộ gia đình, cá nhân cho thuê địa điểm sản xuất, kinh doanh ký trực tiếp với đơn vị cung cấp điện, nước không có đủ chứng từ thuộc một trong các trường hợp sau:</w:t>
      </w:r>
    </w:p>
    <w:p w:rsidR="00E90E75" w:rsidRPr="00E90E75" w:rsidRDefault="00E90E75" w:rsidP="00E90E75">
      <w:pPr>
        <w:shd w:val="clear" w:color="auto" w:fill="FFFFFF"/>
        <w:spacing w:after="120" w:line="234" w:lineRule="atLeast"/>
        <w:rPr>
          <w:rFonts w:ascii="Arial" w:eastAsia="Times New Roman" w:hAnsi="Arial" w:cs="Arial"/>
          <w:color w:val="000000"/>
          <w:sz w:val="18"/>
          <w:szCs w:val="18"/>
          <w:lang w:eastAsia="vi-VN"/>
        </w:rPr>
      </w:pPr>
      <w:r w:rsidRPr="00E90E75">
        <w:rPr>
          <w:rFonts w:ascii="Arial" w:eastAsia="Times New Roman" w:hAnsi="Arial" w:cs="Arial"/>
          <w:color w:val="000000"/>
          <w:sz w:val="20"/>
          <w:szCs w:val="20"/>
          <w:lang w:eastAsia="vi-VN"/>
        </w:rPr>
        <w:t>a) Trường hợp doanh nghiệp thuê địa điểm sản xuất kinh doanh trực tiếp thanh toán tiền điện, nước cho nhà cung cấp điện, nước không có bảng kê (theo mẫu số 02/TNDN ban hành kèm theo Thông tư này) kèm theo các hoá đơn thanh toán tiền điện, nước và hợp đồng thuê địa điểm sản xuất kinh doanh.</w:t>
      </w:r>
    </w:p>
    <w:p w:rsidR="00E90E75" w:rsidRPr="00E90E75" w:rsidRDefault="00E90E75" w:rsidP="00E90E75">
      <w:pPr>
        <w:shd w:val="clear" w:color="auto" w:fill="FFFFFF"/>
        <w:spacing w:after="120" w:line="234" w:lineRule="atLeast"/>
        <w:rPr>
          <w:rFonts w:ascii="Arial" w:eastAsia="Times New Roman" w:hAnsi="Arial" w:cs="Arial"/>
          <w:color w:val="000000"/>
          <w:sz w:val="18"/>
          <w:szCs w:val="18"/>
          <w:lang w:eastAsia="vi-VN"/>
        </w:rPr>
      </w:pPr>
      <w:r w:rsidRPr="00E90E75">
        <w:rPr>
          <w:rFonts w:ascii="Arial" w:eastAsia="Times New Roman" w:hAnsi="Arial" w:cs="Arial"/>
          <w:color w:val="000000"/>
          <w:sz w:val="20"/>
          <w:szCs w:val="20"/>
          <w:lang w:eastAsia="vi-VN"/>
        </w:rPr>
        <w:t>b) Trường hợp doanh nghiệp thuê địa điểm sản xuất kinh doanh thanh toán tiền điện, nước với chủ sở hữu cho thuê địa điểm kinh doanh không có bảng kê (theo mẫu số 02/TNDN ban hành kèm theo Thông tư này) kèm theo chứng từ thanh toán tiền điện, nước đối với người cho thuê địa điểm sản xuất kinh doanh phù hợp với số lượng điện, nước thực tế tiêu thụ và hợp đồng thuê địa điểm sản xuất kinh doanh.”</w:t>
      </w:r>
    </w:p>
    <w:p w:rsidR="00E90E75" w:rsidRPr="00E90E75" w:rsidRDefault="00E90E75" w:rsidP="00E90E75">
      <w:pPr>
        <w:shd w:val="clear" w:color="auto" w:fill="FFFFFF"/>
        <w:spacing w:after="120" w:line="234" w:lineRule="atLeast"/>
        <w:rPr>
          <w:rFonts w:ascii="Arial" w:eastAsia="Times New Roman" w:hAnsi="Arial" w:cs="Arial"/>
          <w:color w:val="000000"/>
          <w:sz w:val="18"/>
          <w:szCs w:val="18"/>
          <w:lang w:eastAsia="vi-VN"/>
        </w:rPr>
      </w:pPr>
      <w:r w:rsidRPr="00E90E75">
        <w:rPr>
          <w:rFonts w:ascii="Arial" w:eastAsia="Times New Roman" w:hAnsi="Arial" w:cs="Arial"/>
          <w:color w:val="000000"/>
          <w:sz w:val="20"/>
          <w:szCs w:val="20"/>
          <w:lang w:eastAsia="vi-VN"/>
        </w:rPr>
        <w:lastRenderedPageBreak/>
        <w:t>Trường hợp theo trình bày, Công ty có thuê mặt bằng của cá nhân để kinh doanh, hàng tháng khi thanh toán tiền thuê nhà, chủ nhà sẽ trực tiếp kê khai thuế tại cơ quan thuế và cung cấp cho Công ty hóa đơn bán hàng và giấy nộp tiền thuế GTGT, thuế TNCN vào Ngân sách Nhà Nước đối với hoạt động cho thuê nhà thì khoản thuế GTGT ghi trên chứng từ nộp tiền Công ty không được kê khai khấu trừ thuế GTGT đầu vào.</w:t>
      </w:r>
    </w:p>
    <w:p w:rsidR="00E90E75" w:rsidRPr="00E90E75" w:rsidRDefault="00E90E75" w:rsidP="00E90E75">
      <w:pPr>
        <w:shd w:val="clear" w:color="auto" w:fill="FFFFFF"/>
        <w:spacing w:after="0" w:line="234" w:lineRule="atLeast"/>
        <w:rPr>
          <w:rFonts w:ascii="Arial" w:eastAsia="Times New Roman" w:hAnsi="Arial" w:cs="Arial"/>
          <w:color w:val="000000"/>
          <w:sz w:val="18"/>
          <w:szCs w:val="18"/>
          <w:lang w:eastAsia="vi-VN"/>
        </w:rPr>
      </w:pPr>
      <w:r w:rsidRPr="00E90E75">
        <w:rPr>
          <w:rFonts w:ascii="Arial" w:eastAsia="Times New Roman" w:hAnsi="Arial" w:cs="Arial"/>
          <w:color w:val="000000"/>
          <w:sz w:val="20"/>
          <w:szCs w:val="20"/>
          <w:lang w:eastAsia="vi-VN"/>
        </w:rPr>
        <w:t>Đối với hóa đơn tiền điện, nước với tên và địa chỉ của chủ nhà do Công ty trực tiếp thanh toán cho nhà cung cấp thì được tính vào chi phí được trừ khi tính thuế thu nhập doanh nghiệp nếu có đầy đủ bảng kê (theo mẫu số 02/TNDN ban hành kèm theo Thông tư số</w:t>
      </w:r>
      <w:hyperlink r:id="rId8" w:tgtFrame="_blank" w:history="1">
        <w:r w:rsidRPr="00E90E75">
          <w:rPr>
            <w:rFonts w:ascii="Arial" w:eastAsia="Times New Roman" w:hAnsi="Arial" w:cs="Arial"/>
            <w:color w:val="0E70C3"/>
            <w:sz w:val="20"/>
            <w:szCs w:val="20"/>
            <w:lang w:eastAsia="vi-VN"/>
          </w:rPr>
          <w:t>78/2014/TT-BTC)</w:t>
        </w:r>
      </w:hyperlink>
      <w:r w:rsidRPr="00E90E75">
        <w:rPr>
          <w:rFonts w:ascii="Arial" w:eastAsia="Times New Roman" w:hAnsi="Arial" w:cs="Arial"/>
          <w:color w:val="000000"/>
          <w:sz w:val="20"/>
          <w:szCs w:val="20"/>
          <w:lang w:eastAsia="vi-VN"/>
        </w:rPr>
        <w:t> kèm theo hóa đơn, chứng từ thanh toán tiền điện, nước và hợp đồng thuê địa điểm sản xuất kinh doanh. Số thuế GTGT đầu vào ghi trên hóa đơn tiền điện, nước Công ty không được kê khai khấu trừ thuế GTGT đầu vào.</w:t>
      </w:r>
    </w:p>
    <w:p w:rsidR="00E90E75" w:rsidRPr="00E90E75" w:rsidRDefault="00E90E75" w:rsidP="00E90E75">
      <w:pPr>
        <w:shd w:val="clear" w:color="auto" w:fill="FFFFFF"/>
        <w:spacing w:after="120" w:line="234" w:lineRule="atLeast"/>
        <w:rPr>
          <w:rFonts w:ascii="Arial" w:eastAsia="Times New Roman" w:hAnsi="Arial" w:cs="Arial"/>
          <w:color w:val="000000"/>
          <w:sz w:val="18"/>
          <w:szCs w:val="18"/>
          <w:lang w:eastAsia="vi-VN"/>
        </w:rPr>
      </w:pPr>
      <w:r w:rsidRPr="00E90E75">
        <w:rPr>
          <w:rFonts w:ascii="Arial" w:eastAsia="Times New Roman" w:hAnsi="Arial" w:cs="Arial"/>
          <w:color w:val="000000"/>
          <w:sz w:val="20"/>
          <w:szCs w:val="20"/>
          <w:lang w:val="nl-NL" w:eastAsia="vi-VN"/>
        </w:rPr>
        <w:t>Cục Thuế TP thông báo Công ty biết để thực hiện theo đúng quy định tại văn bản quy phạm pháp luật đã được trích dẫn tại văn bản này.</w:t>
      </w:r>
    </w:p>
    <w:p w:rsidR="00E90E75" w:rsidRPr="00E90E75" w:rsidRDefault="00E90E75" w:rsidP="00E90E75">
      <w:pPr>
        <w:shd w:val="clear" w:color="auto" w:fill="FFFFFF"/>
        <w:spacing w:after="120" w:line="234" w:lineRule="atLeast"/>
        <w:rPr>
          <w:rFonts w:ascii="Arial" w:eastAsia="Times New Roman" w:hAnsi="Arial" w:cs="Arial"/>
          <w:color w:val="000000"/>
          <w:sz w:val="18"/>
          <w:szCs w:val="18"/>
          <w:lang w:eastAsia="vi-VN"/>
        </w:rPr>
      </w:pPr>
      <w:r w:rsidRPr="00E90E75">
        <w:rPr>
          <w:rFonts w:ascii="Arial" w:eastAsia="Times New Roman" w:hAnsi="Arial" w:cs="Arial"/>
          <w:color w:val="000000"/>
          <w:sz w:val="20"/>
          <w:szCs w:val="20"/>
          <w:lang w:val="nl-NL" w:eastAsia="vi-VN"/>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068"/>
        <w:gridCol w:w="4788"/>
      </w:tblGrid>
      <w:tr w:rsidR="00E90E75" w:rsidRPr="00E90E75" w:rsidTr="00E90E75">
        <w:trPr>
          <w:tblCellSpacing w:w="0" w:type="dxa"/>
        </w:trPr>
        <w:tc>
          <w:tcPr>
            <w:tcW w:w="4068" w:type="dxa"/>
            <w:shd w:val="clear" w:color="auto" w:fill="FFFFFF"/>
            <w:tcMar>
              <w:top w:w="0" w:type="dxa"/>
              <w:left w:w="108" w:type="dxa"/>
              <w:bottom w:w="0" w:type="dxa"/>
              <w:right w:w="108" w:type="dxa"/>
            </w:tcMar>
            <w:hideMark/>
          </w:tcPr>
          <w:p w:rsidR="00E90E75" w:rsidRPr="00E90E75" w:rsidRDefault="00E90E75" w:rsidP="00E90E75">
            <w:pPr>
              <w:spacing w:after="120" w:line="234" w:lineRule="atLeast"/>
              <w:rPr>
                <w:rFonts w:ascii="Arial" w:eastAsia="Times New Roman" w:hAnsi="Arial" w:cs="Arial"/>
                <w:color w:val="000000"/>
                <w:sz w:val="18"/>
                <w:szCs w:val="18"/>
                <w:lang w:eastAsia="vi-VN"/>
              </w:rPr>
            </w:pPr>
            <w:r w:rsidRPr="00E90E75">
              <w:rPr>
                <w:rFonts w:ascii="Arial" w:eastAsia="Times New Roman" w:hAnsi="Arial" w:cs="Arial"/>
                <w:b/>
                <w:bCs/>
                <w:i/>
                <w:iCs/>
                <w:color w:val="000000"/>
                <w:sz w:val="16"/>
                <w:szCs w:val="16"/>
                <w:lang w:val="nl-NL" w:eastAsia="vi-VN"/>
              </w:rPr>
              <w:br/>
            </w:r>
            <w:r w:rsidRPr="00E90E75">
              <w:rPr>
                <w:rFonts w:ascii="Arial" w:eastAsia="Times New Roman" w:hAnsi="Arial" w:cs="Arial"/>
                <w:b/>
                <w:bCs/>
                <w:i/>
                <w:iCs/>
                <w:color w:val="000000"/>
                <w:sz w:val="20"/>
                <w:szCs w:val="20"/>
                <w:lang w:val="nl-NL" w:eastAsia="vi-VN"/>
              </w:rPr>
              <w:t>Nơi nhận:</w:t>
            </w:r>
            <w:r w:rsidRPr="00E90E75">
              <w:rPr>
                <w:rFonts w:ascii="Arial" w:eastAsia="Times New Roman" w:hAnsi="Arial" w:cs="Arial"/>
                <w:b/>
                <w:bCs/>
                <w:i/>
                <w:iCs/>
                <w:color w:val="000000"/>
                <w:sz w:val="20"/>
                <w:szCs w:val="20"/>
                <w:lang w:val="nl-NL" w:eastAsia="vi-VN"/>
              </w:rPr>
              <w:br/>
            </w:r>
            <w:r w:rsidRPr="00E90E75">
              <w:rPr>
                <w:rFonts w:ascii="Arial" w:eastAsia="Times New Roman" w:hAnsi="Arial" w:cs="Arial"/>
                <w:color w:val="000000"/>
                <w:sz w:val="16"/>
                <w:szCs w:val="16"/>
                <w:lang w:val="nl-NL" w:eastAsia="vi-VN"/>
              </w:rPr>
              <w:t>- Như trên;</w:t>
            </w:r>
            <w:r w:rsidRPr="00E90E75">
              <w:rPr>
                <w:rFonts w:ascii="Arial" w:eastAsia="Times New Roman" w:hAnsi="Arial" w:cs="Arial"/>
                <w:color w:val="000000"/>
                <w:sz w:val="16"/>
                <w:szCs w:val="16"/>
                <w:lang w:val="nl-NL" w:eastAsia="vi-VN"/>
              </w:rPr>
              <w:br/>
              <w:t>- P. KT2;</w:t>
            </w:r>
            <w:r w:rsidRPr="00E90E75">
              <w:rPr>
                <w:rFonts w:ascii="Arial" w:eastAsia="Times New Roman" w:hAnsi="Arial" w:cs="Arial"/>
                <w:color w:val="000000"/>
                <w:sz w:val="16"/>
                <w:szCs w:val="16"/>
                <w:lang w:val="nl-NL" w:eastAsia="vi-VN"/>
              </w:rPr>
              <w:br/>
              <w:t>- P. PC;</w:t>
            </w:r>
            <w:r w:rsidRPr="00E90E75">
              <w:rPr>
                <w:rFonts w:ascii="Arial" w:eastAsia="Times New Roman" w:hAnsi="Arial" w:cs="Arial"/>
                <w:color w:val="000000"/>
                <w:sz w:val="16"/>
                <w:szCs w:val="16"/>
                <w:lang w:val="nl-NL" w:eastAsia="vi-VN"/>
              </w:rPr>
              <w:br/>
              <w:t>- Lưu: HC, TTHT.</w:t>
            </w:r>
            <w:r w:rsidRPr="00E90E75">
              <w:rPr>
                <w:rFonts w:ascii="Arial" w:eastAsia="Times New Roman" w:hAnsi="Arial" w:cs="Arial"/>
                <w:color w:val="000000"/>
                <w:sz w:val="16"/>
                <w:szCs w:val="16"/>
                <w:lang w:val="nl-NL" w:eastAsia="vi-VN"/>
              </w:rPr>
              <w:br/>
              <w:t>2230-170069 Dương</w:t>
            </w:r>
          </w:p>
        </w:tc>
        <w:tc>
          <w:tcPr>
            <w:tcW w:w="4788" w:type="dxa"/>
            <w:shd w:val="clear" w:color="auto" w:fill="FFFFFF"/>
            <w:tcMar>
              <w:top w:w="0" w:type="dxa"/>
              <w:left w:w="108" w:type="dxa"/>
              <w:bottom w:w="0" w:type="dxa"/>
              <w:right w:w="108" w:type="dxa"/>
            </w:tcMar>
            <w:hideMark/>
          </w:tcPr>
          <w:p w:rsidR="00E90E75" w:rsidRPr="00E90E75" w:rsidRDefault="00E90E75" w:rsidP="00E90E75">
            <w:pPr>
              <w:spacing w:after="120" w:line="234" w:lineRule="atLeast"/>
              <w:jc w:val="center"/>
              <w:rPr>
                <w:rFonts w:ascii="Arial" w:eastAsia="Times New Roman" w:hAnsi="Arial" w:cs="Arial"/>
                <w:color w:val="000000"/>
                <w:sz w:val="18"/>
                <w:szCs w:val="18"/>
                <w:lang w:eastAsia="vi-VN"/>
              </w:rPr>
            </w:pPr>
            <w:r w:rsidRPr="00E90E75">
              <w:rPr>
                <w:rFonts w:ascii="Arial" w:eastAsia="Times New Roman" w:hAnsi="Arial" w:cs="Arial"/>
                <w:b/>
                <w:bCs/>
                <w:color w:val="000000"/>
                <w:sz w:val="20"/>
                <w:szCs w:val="20"/>
                <w:lang w:val="nl-NL" w:eastAsia="vi-VN"/>
              </w:rPr>
              <w:t>KT. CỤC TRƯỞNG</w:t>
            </w:r>
            <w:r w:rsidRPr="00E90E75">
              <w:rPr>
                <w:rFonts w:ascii="Arial" w:eastAsia="Times New Roman" w:hAnsi="Arial" w:cs="Arial"/>
                <w:b/>
                <w:bCs/>
                <w:color w:val="000000"/>
                <w:sz w:val="20"/>
                <w:szCs w:val="20"/>
                <w:lang w:val="nl-NL" w:eastAsia="vi-VN"/>
              </w:rPr>
              <w:br/>
              <w:t>PHÓ CỤC TRƯỞNG</w:t>
            </w:r>
            <w:r w:rsidRPr="00E90E75">
              <w:rPr>
                <w:rFonts w:ascii="Arial" w:eastAsia="Times New Roman" w:hAnsi="Arial" w:cs="Arial"/>
                <w:color w:val="000000"/>
                <w:sz w:val="20"/>
                <w:szCs w:val="20"/>
                <w:lang w:val="nl-NL" w:eastAsia="vi-VN"/>
              </w:rPr>
              <w:br/>
            </w:r>
            <w:r w:rsidRPr="00E90E75">
              <w:rPr>
                <w:rFonts w:ascii="Arial" w:eastAsia="Times New Roman" w:hAnsi="Arial" w:cs="Arial"/>
                <w:b/>
                <w:bCs/>
                <w:color w:val="000000"/>
                <w:sz w:val="20"/>
                <w:szCs w:val="20"/>
                <w:lang w:val="nl-NL" w:eastAsia="vi-VN"/>
              </w:rPr>
              <w:br/>
            </w:r>
            <w:r w:rsidRPr="00E90E75">
              <w:rPr>
                <w:rFonts w:ascii="Arial" w:eastAsia="Times New Roman" w:hAnsi="Arial" w:cs="Arial"/>
                <w:b/>
                <w:bCs/>
                <w:color w:val="000000"/>
                <w:sz w:val="20"/>
                <w:szCs w:val="20"/>
                <w:lang w:val="nl-NL" w:eastAsia="vi-VN"/>
              </w:rPr>
              <w:br/>
            </w:r>
            <w:r w:rsidRPr="00E90E75">
              <w:rPr>
                <w:rFonts w:ascii="Arial" w:eastAsia="Times New Roman" w:hAnsi="Arial" w:cs="Arial"/>
                <w:b/>
                <w:bCs/>
                <w:color w:val="000000"/>
                <w:sz w:val="20"/>
                <w:szCs w:val="20"/>
                <w:lang w:val="nl-NL" w:eastAsia="vi-VN"/>
              </w:rPr>
              <w:br/>
            </w:r>
            <w:r w:rsidRPr="00E90E75">
              <w:rPr>
                <w:rFonts w:ascii="Arial" w:eastAsia="Times New Roman" w:hAnsi="Arial" w:cs="Arial"/>
                <w:b/>
                <w:bCs/>
                <w:color w:val="000000"/>
                <w:sz w:val="20"/>
                <w:szCs w:val="20"/>
                <w:lang w:val="nl-NL" w:eastAsia="vi-VN"/>
              </w:rPr>
              <w:br/>
              <w:t>Trần Thị Lệ Nga</w:t>
            </w:r>
          </w:p>
        </w:tc>
      </w:tr>
    </w:tbl>
    <w:p w:rsidR="00E90E75" w:rsidRPr="00E90E75" w:rsidRDefault="00E90E75" w:rsidP="00E90E75">
      <w:pPr>
        <w:shd w:val="clear" w:color="auto" w:fill="FFFFFF"/>
        <w:spacing w:after="120" w:line="234" w:lineRule="atLeast"/>
        <w:rPr>
          <w:rFonts w:ascii="Arial" w:eastAsia="Times New Roman" w:hAnsi="Arial" w:cs="Arial"/>
          <w:color w:val="000000"/>
          <w:sz w:val="18"/>
          <w:szCs w:val="18"/>
          <w:lang w:eastAsia="vi-VN"/>
        </w:rPr>
      </w:pPr>
      <w:r w:rsidRPr="00E90E75">
        <w:rPr>
          <w:rFonts w:ascii="Arial" w:eastAsia="Times New Roman" w:hAnsi="Arial" w:cs="Arial"/>
          <w:color w:val="000000"/>
          <w:sz w:val="20"/>
          <w:szCs w:val="20"/>
          <w:lang w:val="nl-NL" w:eastAsia="vi-VN"/>
        </w:rPr>
        <w:t> </w:t>
      </w:r>
    </w:p>
    <w:p w:rsidR="00E90E75" w:rsidRPr="00E90E75" w:rsidRDefault="00E90E75" w:rsidP="00E90E75">
      <w:pPr>
        <w:shd w:val="clear" w:color="auto" w:fill="FFFFFF"/>
        <w:spacing w:after="120" w:line="234" w:lineRule="atLeast"/>
        <w:rPr>
          <w:rFonts w:ascii="Arial" w:eastAsia="Times New Roman" w:hAnsi="Arial" w:cs="Arial"/>
          <w:color w:val="000000"/>
          <w:sz w:val="18"/>
          <w:szCs w:val="18"/>
          <w:lang w:eastAsia="vi-VN"/>
        </w:rPr>
      </w:pPr>
      <w:r w:rsidRPr="00E90E75">
        <w:rPr>
          <w:rFonts w:ascii="Arial" w:eastAsia="Times New Roman" w:hAnsi="Arial" w:cs="Arial"/>
          <w:color w:val="000000"/>
          <w:sz w:val="20"/>
          <w:szCs w:val="20"/>
          <w:lang w:val="nl-NL" w:eastAsia="vi-VN"/>
        </w:rPr>
        <w:t> </w:t>
      </w:r>
    </w:p>
    <w:p w:rsidR="00EC41F8" w:rsidRPr="00E90E75" w:rsidRDefault="00EC41F8" w:rsidP="00E90E75">
      <w:bookmarkStart w:id="0" w:name="_GoBack"/>
      <w:bookmarkEnd w:id="0"/>
    </w:p>
    <w:sectPr w:rsidR="00EC41F8" w:rsidRPr="00E90E7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EFF" w:usb1="C0007843" w:usb2="00000009" w:usb3="00000000" w:csb0="000001FF" w:csb1="00000000"/>
  </w:font>
  <w:font w:name="Arial">
    <w:panose1 w:val="020B0604020202020204"/>
    <w:charset w:val="A3"/>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125120"/>
    <w:multiLevelType w:val="multilevel"/>
    <w:tmpl w:val="E21E3F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EDC47D1"/>
    <w:multiLevelType w:val="multilevel"/>
    <w:tmpl w:val="C52CD2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3CA6"/>
    <w:rsid w:val="00253CA6"/>
    <w:rsid w:val="00E90E75"/>
    <w:rsid w:val="00EC41F8"/>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253CA6"/>
    <w:rPr>
      <w:b/>
      <w:bCs/>
    </w:rPr>
  </w:style>
  <w:style w:type="character" w:styleId="Emphasis">
    <w:name w:val="Emphasis"/>
    <w:basedOn w:val="DefaultParagraphFont"/>
    <w:uiPriority w:val="20"/>
    <w:qFormat/>
    <w:rsid w:val="00253CA6"/>
    <w:rPr>
      <w:i/>
      <w:iCs/>
    </w:rPr>
  </w:style>
  <w:style w:type="paragraph" w:styleId="NormalWeb">
    <w:name w:val="Normal (Web)"/>
    <w:basedOn w:val="Normal"/>
    <w:uiPriority w:val="99"/>
    <w:unhideWhenUsed/>
    <w:rsid w:val="00253CA6"/>
    <w:pPr>
      <w:spacing w:before="100" w:beforeAutospacing="1" w:after="100" w:afterAutospacing="1" w:line="240" w:lineRule="auto"/>
    </w:pPr>
    <w:rPr>
      <w:rFonts w:eastAsia="Times New Roman"/>
      <w:szCs w:val="24"/>
      <w:lang w:eastAsia="vi-VN"/>
    </w:rPr>
  </w:style>
  <w:style w:type="character" w:styleId="Hyperlink">
    <w:name w:val="Hyperlink"/>
    <w:basedOn w:val="DefaultParagraphFont"/>
    <w:uiPriority w:val="99"/>
    <w:semiHidden/>
    <w:unhideWhenUsed/>
    <w:rsid w:val="00253CA6"/>
    <w:rPr>
      <w:color w:val="0000FF"/>
      <w:u w:val="single"/>
    </w:rPr>
  </w:style>
  <w:style w:type="character" w:customStyle="1" w:styleId="apple-converted-space">
    <w:name w:val="apple-converted-space"/>
    <w:basedOn w:val="DefaultParagraphFont"/>
    <w:rsid w:val="00E90E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253CA6"/>
    <w:rPr>
      <w:b/>
      <w:bCs/>
    </w:rPr>
  </w:style>
  <w:style w:type="character" w:styleId="Emphasis">
    <w:name w:val="Emphasis"/>
    <w:basedOn w:val="DefaultParagraphFont"/>
    <w:uiPriority w:val="20"/>
    <w:qFormat/>
    <w:rsid w:val="00253CA6"/>
    <w:rPr>
      <w:i/>
      <w:iCs/>
    </w:rPr>
  </w:style>
  <w:style w:type="paragraph" w:styleId="NormalWeb">
    <w:name w:val="Normal (Web)"/>
    <w:basedOn w:val="Normal"/>
    <w:uiPriority w:val="99"/>
    <w:unhideWhenUsed/>
    <w:rsid w:val="00253CA6"/>
    <w:pPr>
      <w:spacing w:before="100" w:beforeAutospacing="1" w:after="100" w:afterAutospacing="1" w:line="240" w:lineRule="auto"/>
    </w:pPr>
    <w:rPr>
      <w:rFonts w:eastAsia="Times New Roman"/>
      <w:szCs w:val="24"/>
      <w:lang w:eastAsia="vi-VN"/>
    </w:rPr>
  </w:style>
  <w:style w:type="character" w:styleId="Hyperlink">
    <w:name w:val="Hyperlink"/>
    <w:basedOn w:val="DefaultParagraphFont"/>
    <w:uiPriority w:val="99"/>
    <w:semiHidden/>
    <w:unhideWhenUsed/>
    <w:rsid w:val="00253CA6"/>
    <w:rPr>
      <w:color w:val="0000FF"/>
      <w:u w:val="single"/>
    </w:rPr>
  </w:style>
  <w:style w:type="character" w:customStyle="1" w:styleId="apple-converted-space">
    <w:name w:val="apple-converted-space"/>
    <w:basedOn w:val="DefaultParagraphFont"/>
    <w:rsid w:val="00E90E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113451">
      <w:bodyDiv w:val="1"/>
      <w:marLeft w:val="0"/>
      <w:marRight w:val="0"/>
      <w:marTop w:val="0"/>
      <w:marBottom w:val="0"/>
      <w:divBdr>
        <w:top w:val="none" w:sz="0" w:space="0" w:color="auto"/>
        <w:left w:val="none" w:sz="0" w:space="0" w:color="auto"/>
        <w:bottom w:val="none" w:sz="0" w:space="0" w:color="auto"/>
        <w:right w:val="none" w:sz="0" w:space="0" w:color="auto"/>
      </w:divBdr>
    </w:div>
    <w:div w:id="1059785211">
      <w:bodyDiv w:val="1"/>
      <w:marLeft w:val="0"/>
      <w:marRight w:val="0"/>
      <w:marTop w:val="0"/>
      <w:marBottom w:val="0"/>
      <w:divBdr>
        <w:top w:val="none" w:sz="0" w:space="0" w:color="auto"/>
        <w:left w:val="none" w:sz="0" w:space="0" w:color="auto"/>
        <w:bottom w:val="none" w:sz="0" w:space="0" w:color="auto"/>
        <w:right w:val="none" w:sz="0" w:space="0" w:color="auto"/>
      </w:divBdr>
    </w:div>
    <w:div w:id="1615209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huvienphapluat.vn/phap-luat/tim-van-ban.aspx?keyword=78/2014/TT-BTC)&amp;area=2&amp;type=0&amp;match=False&amp;vc=True&amp;lan=1" TargetMode="External"/><Relationship Id="rId3" Type="http://schemas.microsoft.com/office/2007/relationships/stylesWithEffects" Target="stylesWithEffects.xml"/><Relationship Id="rId7" Type="http://schemas.openxmlformats.org/officeDocument/2006/relationships/hyperlink" Target="http://thuvienphapluat.vn/phap-luat/tim-van-ban.aspx?keyword=78/2014/TT-BTC&amp;area=2&amp;type=0&amp;match=False&amp;vc=True&amp;lan=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thuvienphapluat.vn/phap-luat/tim-van-ban.aspx?keyword=219/2013/TT-BTC&amp;area=2&amp;type=0&amp;match=False&amp;vc=True&amp;lan=1"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2</Pages>
  <Words>713</Words>
  <Characters>4067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kien pham</dc:creator>
  <cp:lastModifiedBy>kien pham</cp:lastModifiedBy>
  <cp:revision>1</cp:revision>
  <dcterms:created xsi:type="dcterms:W3CDTF">2015-08-17T03:28:00Z</dcterms:created>
  <dcterms:modified xsi:type="dcterms:W3CDTF">2015-08-17T03:52:00Z</dcterms:modified>
</cp:coreProperties>
</file>