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40" w:type="dxa"/>
        <w:tblCellSpacing w:w="15" w:type="dxa"/>
        <w:tblBorders>
          <w:top w:val="single" w:sz="6" w:space="0" w:color="DFDFDF"/>
          <w:left w:val="single" w:sz="6" w:space="0" w:color="DFDFDF"/>
          <w:bottom w:val="single" w:sz="6" w:space="0" w:color="DFDFDF"/>
          <w:right w:val="single" w:sz="6" w:space="0" w:color="DFDFDF"/>
        </w:tblBorders>
        <w:shd w:val="clear" w:color="auto" w:fill="F9F9F9"/>
        <w:tblCellMar>
          <w:left w:w="0" w:type="dxa"/>
          <w:right w:w="0" w:type="dxa"/>
        </w:tblCellMar>
        <w:tblLook w:val="04A0" w:firstRow="1" w:lastRow="0" w:firstColumn="1" w:lastColumn="0" w:noHBand="0" w:noVBand="1"/>
      </w:tblPr>
      <w:tblGrid>
        <w:gridCol w:w="3457"/>
        <w:gridCol w:w="5783"/>
      </w:tblGrid>
      <w:tr w:rsidR="009B1B3C" w:rsidRPr="009B1B3C" w:rsidTr="009B1B3C">
        <w:trPr>
          <w:tblCellSpacing w:w="15" w:type="dxa"/>
        </w:trPr>
        <w:tc>
          <w:tcPr>
            <w:tcW w:w="334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jc w:val="center"/>
              <w:rPr>
                <w:rFonts w:ascii="Times New Roman" w:eastAsia="Times New Roman" w:hAnsi="Times New Roman" w:cs="Times New Roman"/>
                <w:color w:val="555555"/>
                <w:sz w:val="24"/>
                <w:szCs w:val="24"/>
              </w:rPr>
            </w:pPr>
            <w:r w:rsidRPr="009B1B3C">
              <w:rPr>
                <w:rFonts w:ascii="Times New Roman" w:eastAsia="Times New Roman" w:hAnsi="Times New Roman" w:cs="Times New Roman"/>
                <w:b/>
                <w:bCs/>
                <w:color w:val="555555"/>
                <w:sz w:val="24"/>
                <w:szCs w:val="24"/>
                <w:bdr w:val="none" w:sz="0" w:space="0" w:color="auto" w:frame="1"/>
              </w:rPr>
              <w:t>BỘ TÀI CHÍNH</w:t>
            </w:r>
            <w:r w:rsidRPr="009B1B3C">
              <w:rPr>
                <w:rFonts w:ascii="Times New Roman" w:eastAsia="Times New Roman" w:hAnsi="Times New Roman" w:cs="Times New Roman"/>
                <w:b/>
                <w:bCs/>
                <w:color w:val="555555"/>
                <w:sz w:val="24"/>
                <w:szCs w:val="24"/>
                <w:bdr w:val="none" w:sz="0" w:space="0" w:color="auto" w:frame="1"/>
              </w:rPr>
              <w:br/>
              <w:t>——–</w:t>
            </w:r>
          </w:p>
        </w:tc>
        <w:tc>
          <w:tcPr>
            <w:tcW w:w="562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jc w:val="center"/>
              <w:rPr>
                <w:rFonts w:ascii="Times New Roman" w:eastAsia="Times New Roman" w:hAnsi="Times New Roman" w:cs="Times New Roman"/>
                <w:color w:val="555555"/>
                <w:sz w:val="24"/>
                <w:szCs w:val="24"/>
              </w:rPr>
            </w:pPr>
            <w:r w:rsidRPr="009B1B3C">
              <w:rPr>
                <w:rFonts w:ascii="Times New Roman" w:eastAsia="Times New Roman" w:hAnsi="Times New Roman" w:cs="Times New Roman"/>
                <w:b/>
                <w:bCs/>
                <w:color w:val="555555"/>
                <w:sz w:val="24"/>
                <w:szCs w:val="24"/>
                <w:bdr w:val="none" w:sz="0" w:space="0" w:color="auto" w:frame="1"/>
              </w:rPr>
              <w:t>CỘNG HÒA XÃ HỘI CHỦ NGHĨA VIỆT NAM</w:t>
            </w:r>
            <w:r w:rsidRPr="009B1B3C">
              <w:rPr>
                <w:rFonts w:ascii="Times New Roman" w:eastAsia="Times New Roman" w:hAnsi="Times New Roman" w:cs="Times New Roman"/>
                <w:b/>
                <w:bCs/>
                <w:color w:val="555555"/>
                <w:sz w:val="24"/>
                <w:szCs w:val="24"/>
                <w:bdr w:val="none" w:sz="0" w:space="0" w:color="auto" w:frame="1"/>
              </w:rPr>
              <w:br/>
              <w:t>Độc lập – Tự do – Hạnh phúc</w:t>
            </w:r>
            <w:r w:rsidRPr="009B1B3C">
              <w:rPr>
                <w:rFonts w:ascii="Times New Roman" w:eastAsia="Times New Roman" w:hAnsi="Times New Roman" w:cs="Times New Roman"/>
                <w:b/>
                <w:bCs/>
                <w:color w:val="555555"/>
                <w:sz w:val="24"/>
                <w:szCs w:val="24"/>
                <w:bdr w:val="none" w:sz="0" w:space="0" w:color="auto" w:frame="1"/>
              </w:rPr>
              <w:br/>
              <w:t>—————-</w:t>
            </w:r>
          </w:p>
        </w:tc>
      </w:tr>
      <w:tr w:rsidR="009B1B3C" w:rsidRPr="009B1B3C" w:rsidTr="009B1B3C">
        <w:trPr>
          <w:tblCellSpacing w:w="15" w:type="dxa"/>
        </w:trPr>
        <w:tc>
          <w:tcPr>
            <w:tcW w:w="334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jc w:val="center"/>
              <w:rPr>
                <w:rFonts w:ascii="Times New Roman" w:eastAsia="Times New Roman" w:hAnsi="Times New Roman" w:cs="Times New Roman"/>
                <w:color w:val="555555"/>
                <w:sz w:val="24"/>
                <w:szCs w:val="24"/>
              </w:rPr>
            </w:pPr>
            <w:r w:rsidRPr="009B1B3C">
              <w:rPr>
                <w:rFonts w:ascii="Times New Roman" w:eastAsia="Times New Roman" w:hAnsi="Times New Roman" w:cs="Times New Roman"/>
                <w:color w:val="555555"/>
                <w:sz w:val="24"/>
                <w:szCs w:val="24"/>
              </w:rPr>
              <w:t>Số: 1209/QĐ-BTC</w:t>
            </w:r>
          </w:p>
        </w:tc>
        <w:tc>
          <w:tcPr>
            <w:tcW w:w="562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jc w:val="right"/>
              <w:rPr>
                <w:rFonts w:ascii="Times New Roman" w:eastAsia="Times New Roman" w:hAnsi="Times New Roman" w:cs="Times New Roman"/>
                <w:color w:val="555555"/>
                <w:sz w:val="24"/>
                <w:szCs w:val="24"/>
              </w:rPr>
            </w:pPr>
            <w:r w:rsidRPr="009B1B3C">
              <w:rPr>
                <w:rFonts w:ascii="Times New Roman" w:eastAsia="Times New Roman" w:hAnsi="Times New Roman" w:cs="Times New Roman"/>
                <w:i/>
                <w:iCs/>
                <w:color w:val="555555"/>
                <w:sz w:val="24"/>
                <w:szCs w:val="24"/>
                <w:bdr w:val="none" w:sz="0" w:space="0" w:color="auto" w:frame="1"/>
              </w:rPr>
              <w:t>Hà Nội, ngày 23 tháng 06 năm 2015</w:t>
            </w:r>
          </w:p>
        </w:tc>
      </w:tr>
    </w:tbl>
    <w:p w:rsidR="009B1B3C" w:rsidRPr="009B1B3C" w:rsidRDefault="009B1B3C" w:rsidP="009B1B3C">
      <w:pPr>
        <w:shd w:val="clear" w:color="auto" w:fill="FFFFFF"/>
        <w:spacing w:after="0" w:line="293" w:lineRule="atLeast"/>
        <w:jc w:val="center"/>
        <w:rPr>
          <w:rFonts w:ascii="Times New Roman" w:eastAsia="Times New Roman" w:hAnsi="Times New Roman" w:cs="Times New Roman"/>
          <w:color w:val="333333"/>
          <w:sz w:val="24"/>
          <w:szCs w:val="24"/>
        </w:rPr>
      </w:pPr>
      <w:r w:rsidRPr="009B1B3C">
        <w:rPr>
          <w:rFonts w:ascii="Times New Roman" w:eastAsia="Times New Roman" w:hAnsi="Times New Roman" w:cs="Times New Roman"/>
          <w:b/>
          <w:bCs/>
          <w:color w:val="333333"/>
          <w:sz w:val="24"/>
          <w:szCs w:val="24"/>
          <w:bdr w:val="none" w:sz="0" w:space="0" w:color="auto" w:frame="1"/>
        </w:rPr>
        <w:t>QUYẾT ĐỊNH</w:t>
      </w:r>
    </w:p>
    <w:p w:rsidR="009B1B3C" w:rsidRPr="009B1B3C" w:rsidRDefault="009B1B3C" w:rsidP="009B1B3C">
      <w:pPr>
        <w:shd w:val="clear" w:color="auto" w:fill="FFFFFF"/>
        <w:spacing w:after="0" w:line="293" w:lineRule="atLeast"/>
        <w:jc w:val="center"/>
        <w:rPr>
          <w:rFonts w:ascii="Times New Roman" w:eastAsia="Times New Roman" w:hAnsi="Times New Roman" w:cs="Times New Roman"/>
          <w:color w:val="333333"/>
          <w:sz w:val="24"/>
          <w:szCs w:val="24"/>
        </w:rPr>
      </w:pPr>
      <w:r w:rsidRPr="009B1B3C">
        <w:rPr>
          <w:rFonts w:ascii="Times New Roman" w:eastAsia="Times New Roman" w:hAnsi="Times New Roman" w:cs="Times New Roman"/>
          <w:color w:val="333333"/>
          <w:sz w:val="24"/>
          <w:szCs w:val="24"/>
        </w:rPr>
        <w:t>VỀ VIỆC THÍ ĐIỂM SỬ DỤNG HÓA ĐƠN ĐIỆN TỬ CÓ MÃ XÁC THỰC CỦA CƠ QUAN THUẾ</w:t>
      </w:r>
    </w:p>
    <w:p w:rsidR="009B1B3C" w:rsidRPr="009B1B3C" w:rsidRDefault="009B1B3C" w:rsidP="009B1B3C">
      <w:pPr>
        <w:shd w:val="clear" w:color="auto" w:fill="FFFFFF"/>
        <w:spacing w:after="0" w:line="293" w:lineRule="atLeast"/>
        <w:jc w:val="center"/>
        <w:rPr>
          <w:rFonts w:ascii="Times New Roman" w:eastAsia="Times New Roman" w:hAnsi="Times New Roman" w:cs="Times New Roman"/>
          <w:color w:val="333333"/>
          <w:sz w:val="24"/>
          <w:szCs w:val="24"/>
        </w:rPr>
      </w:pPr>
      <w:r w:rsidRPr="009B1B3C">
        <w:rPr>
          <w:rFonts w:ascii="Times New Roman" w:eastAsia="Times New Roman" w:hAnsi="Times New Roman" w:cs="Times New Roman"/>
          <w:b/>
          <w:bCs/>
          <w:color w:val="333333"/>
          <w:sz w:val="24"/>
          <w:szCs w:val="24"/>
          <w:bdr w:val="none" w:sz="0" w:space="0" w:color="auto" w:frame="1"/>
        </w:rPr>
        <w:t>BỘ TRƯỞNG BỘ TÀI CHÍNH</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Luật Quản lý thuế số 78/2006/QH11 ngày 29/11/2006; Luật sửa đổi, bổ sung một số điều của Luật Quản lý thuế số 21/2012/QH13 ngày 20/11/2012;</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Luật Giao dịch điện tử số 51/2005/QH11 ngày 29/11/2005;</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Luật sửa đổi, bổ su</w:t>
      </w:r>
      <w:bookmarkStart w:id="0" w:name="_GoBack"/>
      <w:bookmarkEnd w:id="0"/>
      <w:r w:rsidRPr="009B1B3C">
        <w:rPr>
          <w:rFonts w:ascii="Times New Roman" w:eastAsia="Times New Roman" w:hAnsi="Times New Roman" w:cs="Times New Roman"/>
          <w:i/>
          <w:iCs/>
          <w:color w:val="333333"/>
          <w:sz w:val="24"/>
          <w:szCs w:val="24"/>
          <w:bdr w:val="none" w:sz="0" w:space="0" w:color="auto" w:frame="1"/>
        </w:rPr>
        <w:t>ng một số điều của các Luật về thuế số 71/2014/QH13 ngày 26/11/2014;</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Luật Kế toán số 03/2003/QH 11 ngày 17/6/2003;</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51/2010/NĐ-CP ngày 14/5/2010 của Chính phủ quy định về hóa đơn bán hàng hóa, cung ứng dịch vụ; Nghị định số 04/2014/NĐ-CP ngày 17/01/2014 của Chính phủ về sửa đổi, bổ sung một số điều của Nghị định số 51/2010/NĐ-CP ngày 14/05/2010 của Chính phủ;</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12/2015/NĐ-CP ngày 12/02/2015 của Chính phủ quy định chi tiết thi hành Luật sửa đổi, bổ sung một số điều của các Luật về thuế và sửa đổi, bổ sung một số điều của các Nghị định về thuế;</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26/2007/NĐ-CP ngày 15/2/2007 của Chính phủ quy định chi tiết thi hành Luật Giao dịch điện tử về chữ ký số và dịch vụ chứng thực chữ ký số; Nghị định số 106/2011/NĐ-CP ngày 23/11/2011 của Chính phủ sửa đổi, bổ sung một số điều Nghị định số 26/2007/NĐ-CP của Chính phủ ngày 15/02/2007; Nghị định số 170/2013/NĐ-CP ngày 13/11/2013 của Chính phủ sửa đổi, bổ sung một số điều của Nghị định số 26/2007/NĐ-CP ngày 15/02/2007 của Chính phủ và Nghị định số 106/2011/NĐ-CP ngày 23/11/2011 của Chính phủ;</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27/2007/NĐ-CP ngày 23/2/2007 của Chính phủ về giao dịch điện trong hoạt động tài chính;</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64/2007/NĐ-CP ngày 10/4/2007 của Chính phủ về ứng dụng công nghệ thông tin trong hoạt động của cơ quan nhà nước;</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Nghị định số 215/2013/NĐ-CP ngày 23/12/2013 của Chính phủ quy định chức năng, nhiệm vụ, quyền hạn và cơ cấu tổ chức của Bộ Tài chính;</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Thông tư số 32/2011/TT-BTC ngày 14/3/2011 của Bộ Tài chính hướng dẫn về khởi tạo, phát hành và sử dụng hóa đơn điện tử bán hàng hóa, cung ứng dịch vụ;</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Căn cứ Thông tư số 39/2014/TT-BTC ngày 31/3/2014 hướng dẫn thi hành Nghị định số 51/2010/NĐ-CP ngày 14/05/2010 và Nghị định số 04/2014/NĐ-CP ngày 17/01/2014 của Chính phủ quy định về hóa đơn bán hàng hóa, cung ứng dịch vụ; Thông tư số 26/2015/TT-BTC ngày 27/2/2015 của Bộ Tài chính hướng dẫn thực hiện về thuế giá trị gia tăng, quản lý thuế và hóa đơn bán hàng hóa, cung ứng dịch vụ;</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i/>
          <w:iCs/>
          <w:color w:val="333333"/>
          <w:sz w:val="24"/>
          <w:szCs w:val="24"/>
          <w:bdr w:val="none" w:sz="0" w:space="0" w:color="auto" w:frame="1"/>
        </w:rPr>
        <w:t>Theo đề nghị của Tổng cục trưởng Tổng cục Thuế,</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r w:rsidRPr="009B1B3C">
        <w:rPr>
          <w:rFonts w:ascii="Times New Roman" w:eastAsia="Times New Roman" w:hAnsi="Times New Roman" w:cs="Times New Roman"/>
          <w:b/>
          <w:bCs/>
          <w:color w:val="333333"/>
          <w:sz w:val="24"/>
          <w:szCs w:val="24"/>
          <w:bdr w:val="none" w:sz="0" w:space="0" w:color="auto" w:frame="1"/>
        </w:rPr>
        <w:t>QUYẾT ĐỊNH:</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proofErr w:type="gramStart"/>
      <w:r w:rsidRPr="009B1B3C">
        <w:rPr>
          <w:rFonts w:ascii="Times New Roman" w:eastAsia="Times New Roman" w:hAnsi="Times New Roman" w:cs="Times New Roman"/>
          <w:b/>
          <w:bCs/>
          <w:color w:val="333333"/>
          <w:sz w:val="24"/>
          <w:szCs w:val="24"/>
          <w:bdr w:val="none" w:sz="0" w:space="0" w:color="auto" w:frame="1"/>
        </w:rPr>
        <w:lastRenderedPageBreak/>
        <w:t>Điều 1.</w:t>
      </w:r>
      <w:proofErr w:type="gramEnd"/>
      <w:r w:rsidRPr="009B1B3C">
        <w:rPr>
          <w:rFonts w:ascii="Times New Roman" w:eastAsia="Times New Roman" w:hAnsi="Times New Roman" w:cs="Times New Roman"/>
          <w:color w:val="333333"/>
          <w:sz w:val="24"/>
          <w:szCs w:val="24"/>
        </w:rPr>
        <w:t xml:space="preserve"> Ban hành kèm </w:t>
      </w:r>
      <w:proofErr w:type="gramStart"/>
      <w:r w:rsidRPr="009B1B3C">
        <w:rPr>
          <w:rFonts w:ascii="Times New Roman" w:eastAsia="Times New Roman" w:hAnsi="Times New Roman" w:cs="Times New Roman"/>
          <w:color w:val="333333"/>
          <w:sz w:val="24"/>
          <w:szCs w:val="24"/>
        </w:rPr>
        <w:t>theo</w:t>
      </w:r>
      <w:proofErr w:type="gramEnd"/>
      <w:r w:rsidRPr="009B1B3C">
        <w:rPr>
          <w:rFonts w:ascii="Times New Roman" w:eastAsia="Times New Roman" w:hAnsi="Times New Roman" w:cs="Times New Roman"/>
          <w:color w:val="333333"/>
          <w:sz w:val="24"/>
          <w:szCs w:val="24"/>
        </w:rPr>
        <w:t xml:space="preserve"> Quyết định này Quy định về việc thí điểm sử dụng hóa đơn điện tử có mã xác thực của cơ quan thuế.</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proofErr w:type="gramStart"/>
      <w:r w:rsidRPr="009B1B3C">
        <w:rPr>
          <w:rFonts w:ascii="Times New Roman" w:eastAsia="Times New Roman" w:hAnsi="Times New Roman" w:cs="Times New Roman"/>
          <w:b/>
          <w:bCs/>
          <w:color w:val="333333"/>
          <w:sz w:val="24"/>
          <w:szCs w:val="24"/>
          <w:bdr w:val="none" w:sz="0" w:space="0" w:color="auto" w:frame="1"/>
        </w:rPr>
        <w:t>Điều 2.</w:t>
      </w:r>
      <w:proofErr w:type="gramEnd"/>
      <w:r w:rsidRPr="009B1B3C">
        <w:rPr>
          <w:rFonts w:ascii="Times New Roman" w:eastAsia="Times New Roman" w:hAnsi="Times New Roman" w:cs="Times New Roman"/>
          <w:color w:val="333333"/>
          <w:sz w:val="24"/>
          <w:szCs w:val="24"/>
        </w:rPr>
        <w:t xml:space="preserve"> Áp dụng thí điểm sử dụng hóa đơn điện tử có mã xác thực của cơ quan thuế (sau đây được gọi là hóa đơn xác thực) cho một số doanh nghiệp trên địa bàn thành phố Hồ Chí Minh và thành phố Hà Nội; thời gian thực hiện thí điểm từ tháng 06/2015 đến hết tháng 12/2016. Trước khi kết thúc thực hiện thí điểm, Tổng cục Thuế báo cáo Bộ Tài chính kết quả và đề xuất phương </w:t>
      </w:r>
      <w:proofErr w:type="gramStart"/>
      <w:r w:rsidRPr="009B1B3C">
        <w:rPr>
          <w:rFonts w:ascii="Times New Roman" w:eastAsia="Times New Roman" w:hAnsi="Times New Roman" w:cs="Times New Roman"/>
          <w:color w:val="333333"/>
          <w:sz w:val="24"/>
          <w:szCs w:val="24"/>
        </w:rPr>
        <w:t>án</w:t>
      </w:r>
      <w:proofErr w:type="gramEnd"/>
      <w:r w:rsidRPr="009B1B3C">
        <w:rPr>
          <w:rFonts w:ascii="Times New Roman" w:eastAsia="Times New Roman" w:hAnsi="Times New Roman" w:cs="Times New Roman"/>
          <w:color w:val="333333"/>
          <w:sz w:val="24"/>
          <w:szCs w:val="24"/>
        </w:rPr>
        <w:t xml:space="preserve"> triển khai mở rộng.</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proofErr w:type="gramStart"/>
      <w:r w:rsidRPr="009B1B3C">
        <w:rPr>
          <w:rFonts w:ascii="Times New Roman" w:eastAsia="Times New Roman" w:hAnsi="Times New Roman" w:cs="Times New Roman"/>
          <w:b/>
          <w:bCs/>
          <w:color w:val="333333"/>
          <w:sz w:val="24"/>
          <w:szCs w:val="24"/>
          <w:bdr w:val="none" w:sz="0" w:space="0" w:color="auto" w:frame="1"/>
        </w:rPr>
        <w:t>Điều 3.</w:t>
      </w:r>
      <w:proofErr w:type="gramEnd"/>
      <w:r w:rsidRPr="009B1B3C">
        <w:rPr>
          <w:rFonts w:ascii="Times New Roman" w:eastAsia="Times New Roman" w:hAnsi="Times New Roman" w:cs="Times New Roman"/>
          <w:color w:val="333333"/>
          <w:sz w:val="24"/>
          <w:szCs w:val="24"/>
        </w:rPr>
        <w:t xml:space="preserve"> Doanh nghiệp tham gia thí điểm sử dụng hóa đơn xác thực phải thực hiện đúng quy định ban hành kèm </w:t>
      </w:r>
      <w:proofErr w:type="gramStart"/>
      <w:r w:rsidRPr="009B1B3C">
        <w:rPr>
          <w:rFonts w:ascii="Times New Roman" w:eastAsia="Times New Roman" w:hAnsi="Times New Roman" w:cs="Times New Roman"/>
          <w:color w:val="333333"/>
          <w:sz w:val="24"/>
          <w:szCs w:val="24"/>
        </w:rPr>
        <w:t>theo</w:t>
      </w:r>
      <w:proofErr w:type="gramEnd"/>
      <w:r w:rsidRPr="009B1B3C">
        <w:rPr>
          <w:rFonts w:ascii="Times New Roman" w:eastAsia="Times New Roman" w:hAnsi="Times New Roman" w:cs="Times New Roman"/>
          <w:color w:val="333333"/>
          <w:sz w:val="24"/>
          <w:szCs w:val="24"/>
        </w:rPr>
        <w:t xml:space="preserve"> Quyết định này.</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proofErr w:type="gramStart"/>
      <w:r w:rsidRPr="009B1B3C">
        <w:rPr>
          <w:rFonts w:ascii="Times New Roman" w:eastAsia="Times New Roman" w:hAnsi="Times New Roman" w:cs="Times New Roman"/>
          <w:b/>
          <w:bCs/>
          <w:color w:val="333333"/>
          <w:sz w:val="24"/>
          <w:szCs w:val="24"/>
          <w:bdr w:val="none" w:sz="0" w:space="0" w:color="auto" w:frame="1"/>
        </w:rPr>
        <w:t>Điều 4.</w:t>
      </w:r>
      <w:proofErr w:type="gramEnd"/>
      <w:r w:rsidRPr="009B1B3C">
        <w:rPr>
          <w:rFonts w:ascii="Times New Roman" w:eastAsia="Times New Roman" w:hAnsi="Times New Roman" w:cs="Times New Roman"/>
          <w:color w:val="333333"/>
          <w:sz w:val="24"/>
          <w:szCs w:val="24"/>
        </w:rPr>
        <w:t> Giao Tổng cục trưởng Tổng cục Thuế lựa chọn doanh nghiệp tham gia thí điểm, quy định chuẩn thông tin trao đổi của hệ thống và ban hành Quy trình quản lý hóa đơn xác thực để thực hiện thí điểm sử dụng hóa đơn xác thực nhằm đáp ứng yêu cầu đơn giản thủ tục hành chính trong việc đăng ký và sử dụng hóa đơn của doanh nghiệp, tạo điều kiện cho doanh nghiệp kiểm tra, bảo vệ hóa đơn của đơn vị mình; Đồng thời, đảm bảo hiệu quả trong công tác quản lý thuế.</w:t>
      </w:r>
    </w:p>
    <w:p w:rsidR="009B1B3C" w:rsidRPr="009B1B3C" w:rsidRDefault="009B1B3C" w:rsidP="009B1B3C">
      <w:pPr>
        <w:shd w:val="clear" w:color="auto" w:fill="FFFFFF"/>
        <w:spacing w:after="0" w:line="293" w:lineRule="atLeast"/>
        <w:jc w:val="both"/>
        <w:rPr>
          <w:rFonts w:ascii="Times New Roman" w:eastAsia="Times New Roman" w:hAnsi="Times New Roman" w:cs="Times New Roman"/>
          <w:color w:val="333333"/>
          <w:sz w:val="24"/>
          <w:szCs w:val="24"/>
        </w:rPr>
      </w:pPr>
      <w:proofErr w:type="gramStart"/>
      <w:r w:rsidRPr="009B1B3C">
        <w:rPr>
          <w:rFonts w:ascii="Times New Roman" w:eastAsia="Times New Roman" w:hAnsi="Times New Roman" w:cs="Times New Roman"/>
          <w:b/>
          <w:bCs/>
          <w:color w:val="333333"/>
          <w:sz w:val="24"/>
          <w:szCs w:val="24"/>
          <w:bdr w:val="none" w:sz="0" w:space="0" w:color="auto" w:frame="1"/>
        </w:rPr>
        <w:t>Điều 5.</w:t>
      </w:r>
      <w:proofErr w:type="gramEnd"/>
      <w:r w:rsidRPr="009B1B3C">
        <w:rPr>
          <w:rFonts w:ascii="Times New Roman" w:eastAsia="Times New Roman" w:hAnsi="Times New Roman" w:cs="Times New Roman"/>
          <w:color w:val="333333"/>
          <w:sz w:val="24"/>
          <w:szCs w:val="24"/>
        </w:rPr>
        <w:t> </w:t>
      </w:r>
      <w:proofErr w:type="gramStart"/>
      <w:r w:rsidRPr="009B1B3C">
        <w:rPr>
          <w:rFonts w:ascii="Times New Roman" w:eastAsia="Times New Roman" w:hAnsi="Times New Roman" w:cs="Times New Roman"/>
          <w:color w:val="333333"/>
          <w:sz w:val="24"/>
          <w:szCs w:val="24"/>
        </w:rPr>
        <w:t>Quyết định này có hiệu lực thi hành kể từ ngày ký.</w:t>
      </w:r>
      <w:proofErr w:type="gramEnd"/>
      <w:r w:rsidRPr="009B1B3C">
        <w:rPr>
          <w:rFonts w:ascii="Times New Roman" w:eastAsia="Times New Roman" w:hAnsi="Times New Roman" w:cs="Times New Roman"/>
          <w:color w:val="333333"/>
          <w:sz w:val="24"/>
          <w:szCs w:val="24"/>
        </w:rPr>
        <w:t xml:space="preserve"> Tổng cục trưởng Tổng cục Thuế, Cục trưởng Cục Tin học và Thống kê tài chính, Vụ trưởng Vụ Kế hoạch – Tài chính, Vụ trưởng Vụ Chính sách thuế, Vụ trưởng Vụ Pháp chế, Chánh văn phòng Bộ Tài chính và Thủ trưởng các đơn vị thuộc hệ thống Thuế chịu trách nhiệm thi hành quyết định này./.</w:t>
      </w:r>
    </w:p>
    <w:tbl>
      <w:tblPr>
        <w:tblW w:w="9240" w:type="dxa"/>
        <w:tblCellSpacing w:w="15" w:type="dxa"/>
        <w:tblBorders>
          <w:top w:val="single" w:sz="6" w:space="0" w:color="DFDFDF"/>
          <w:left w:val="single" w:sz="6" w:space="0" w:color="DFDFDF"/>
          <w:bottom w:val="single" w:sz="6" w:space="0" w:color="DFDFDF"/>
          <w:right w:val="single" w:sz="6" w:space="0" w:color="DFDFDF"/>
        </w:tblBorders>
        <w:shd w:val="clear" w:color="auto" w:fill="F9F9F9"/>
        <w:tblCellMar>
          <w:left w:w="0" w:type="dxa"/>
          <w:right w:w="0" w:type="dxa"/>
        </w:tblCellMar>
        <w:tblLook w:val="04A0" w:firstRow="1" w:lastRow="0" w:firstColumn="1" w:lastColumn="0" w:noHBand="0" w:noVBand="1"/>
      </w:tblPr>
      <w:tblGrid>
        <w:gridCol w:w="3876"/>
        <w:gridCol w:w="5364"/>
      </w:tblGrid>
      <w:tr w:rsidR="009B1B3C" w:rsidRPr="009B1B3C" w:rsidTr="009B1B3C">
        <w:trPr>
          <w:tblCellSpacing w:w="15" w:type="dxa"/>
        </w:trPr>
        <w:tc>
          <w:tcPr>
            <w:tcW w:w="370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rPr>
                <w:rFonts w:ascii="Times New Roman" w:eastAsia="Times New Roman" w:hAnsi="Times New Roman" w:cs="Times New Roman"/>
                <w:color w:val="555555"/>
                <w:sz w:val="24"/>
                <w:szCs w:val="24"/>
              </w:rPr>
            </w:pPr>
            <w:r w:rsidRPr="009B1B3C">
              <w:rPr>
                <w:rFonts w:ascii="Times New Roman" w:eastAsia="Times New Roman" w:hAnsi="Times New Roman" w:cs="Times New Roman"/>
                <w:b/>
                <w:bCs/>
                <w:i/>
                <w:iCs/>
                <w:color w:val="555555"/>
                <w:sz w:val="24"/>
                <w:szCs w:val="24"/>
                <w:bdr w:val="none" w:sz="0" w:space="0" w:color="auto" w:frame="1"/>
              </w:rPr>
              <w:t>Nơi nhận:</w:t>
            </w:r>
            <w:r w:rsidRPr="009B1B3C">
              <w:rPr>
                <w:rFonts w:ascii="Times New Roman" w:eastAsia="Times New Roman" w:hAnsi="Times New Roman" w:cs="Times New Roman"/>
                <w:b/>
                <w:bCs/>
                <w:i/>
                <w:iCs/>
                <w:color w:val="555555"/>
                <w:sz w:val="24"/>
                <w:szCs w:val="24"/>
                <w:bdr w:val="none" w:sz="0" w:space="0" w:color="auto" w:frame="1"/>
              </w:rPr>
              <w:br/>
            </w:r>
            <w:r w:rsidRPr="009B1B3C">
              <w:rPr>
                <w:rFonts w:ascii="Times New Roman" w:eastAsia="Times New Roman" w:hAnsi="Times New Roman" w:cs="Times New Roman"/>
                <w:color w:val="555555"/>
                <w:sz w:val="24"/>
                <w:szCs w:val="24"/>
              </w:rPr>
              <w:t>– Như Điều 5;</w:t>
            </w:r>
            <w:r w:rsidRPr="009B1B3C">
              <w:rPr>
                <w:rFonts w:ascii="Times New Roman" w:eastAsia="Times New Roman" w:hAnsi="Times New Roman" w:cs="Times New Roman"/>
                <w:color w:val="555555"/>
                <w:sz w:val="24"/>
                <w:szCs w:val="24"/>
              </w:rPr>
              <w:br/>
              <w:t>– Văn phòng BCĐ phòng chống tham nhũng trung ương;</w:t>
            </w:r>
            <w:r w:rsidRPr="009B1B3C">
              <w:rPr>
                <w:rFonts w:ascii="Times New Roman" w:eastAsia="Times New Roman" w:hAnsi="Times New Roman" w:cs="Times New Roman"/>
                <w:color w:val="555555"/>
                <w:sz w:val="24"/>
                <w:szCs w:val="24"/>
              </w:rPr>
              <w:br/>
              <w:t>– Kiểm toán nhà nước;</w:t>
            </w:r>
            <w:r w:rsidRPr="009B1B3C">
              <w:rPr>
                <w:rFonts w:ascii="Times New Roman" w:eastAsia="Times New Roman" w:hAnsi="Times New Roman" w:cs="Times New Roman"/>
                <w:color w:val="555555"/>
                <w:sz w:val="24"/>
                <w:szCs w:val="24"/>
              </w:rPr>
              <w:br/>
              <w:t>– Các Bộ, cơ quan ngang Bộ, cơ quan thuộc Chính phủ;</w:t>
            </w:r>
            <w:r w:rsidRPr="009B1B3C">
              <w:rPr>
                <w:rFonts w:ascii="Times New Roman" w:eastAsia="Times New Roman" w:hAnsi="Times New Roman" w:cs="Times New Roman"/>
                <w:color w:val="555555"/>
                <w:sz w:val="24"/>
                <w:szCs w:val="24"/>
              </w:rPr>
              <w:br/>
              <w:t>– Hội đồng nhân dân, Ủy ban nhân dân, Sở Tài chính, Cục Thuế, Kho bạc nhà nước các tỉnh, thành phố trực thuộc Trung ương;</w:t>
            </w:r>
            <w:r w:rsidRPr="009B1B3C">
              <w:rPr>
                <w:rFonts w:ascii="Times New Roman" w:eastAsia="Times New Roman" w:hAnsi="Times New Roman" w:cs="Times New Roman"/>
                <w:color w:val="555555"/>
                <w:sz w:val="24"/>
                <w:szCs w:val="24"/>
              </w:rPr>
              <w:br/>
              <w:t>– Website Chính phủ;</w:t>
            </w:r>
            <w:r w:rsidRPr="009B1B3C">
              <w:rPr>
                <w:rFonts w:ascii="Times New Roman" w:eastAsia="Times New Roman" w:hAnsi="Times New Roman" w:cs="Times New Roman"/>
                <w:color w:val="555555"/>
                <w:sz w:val="24"/>
                <w:szCs w:val="24"/>
              </w:rPr>
              <w:br/>
              <w:t>– Website Bộ Tài chính; Website Tổng cục thuế;</w:t>
            </w:r>
            <w:r w:rsidRPr="009B1B3C">
              <w:rPr>
                <w:rFonts w:ascii="Times New Roman" w:eastAsia="Times New Roman" w:hAnsi="Times New Roman" w:cs="Times New Roman"/>
                <w:color w:val="555555"/>
                <w:sz w:val="24"/>
                <w:szCs w:val="24"/>
              </w:rPr>
              <w:br/>
              <w:t>– Các đơn vị thuộc Bộ Tài chính, Tổng cục Thuế;</w:t>
            </w:r>
            <w:r w:rsidRPr="009B1B3C">
              <w:rPr>
                <w:rFonts w:ascii="Times New Roman" w:eastAsia="Times New Roman" w:hAnsi="Times New Roman" w:cs="Times New Roman"/>
                <w:color w:val="555555"/>
                <w:sz w:val="24"/>
                <w:szCs w:val="24"/>
              </w:rPr>
              <w:br/>
              <w:t>– Lưu: VT, TCT (VT, DNL).</w:t>
            </w:r>
          </w:p>
        </w:tc>
        <w:tc>
          <w:tcPr>
            <w:tcW w:w="5145" w:type="dxa"/>
            <w:tcBorders>
              <w:top w:val="single" w:sz="6" w:space="0" w:color="FFFFFF"/>
              <w:left w:val="nil"/>
              <w:bottom w:val="single" w:sz="6" w:space="0" w:color="DFDFDF"/>
              <w:right w:val="nil"/>
            </w:tcBorders>
            <w:shd w:val="clear" w:color="auto" w:fill="F9F9F9"/>
            <w:tcMar>
              <w:top w:w="60" w:type="dxa"/>
              <w:left w:w="105" w:type="dxa"/>
              <w:bottom w:w="60" w:type="dxa"/>
              <w:right w:w="105" w:type="dxa"/>
            </w:tcMar>
            <w:hideMark/>
          </w:tcPr>
          <w:p w:rsidR="009B1B3C" w:rsidRPr="009B1B3C" w:rsidRDefault="009B1B3C" w:rsidP="009B1B3C">
            <w:pPr>
              <w:spacing w:after="0" w:line="293" w:lineRule="atLeast"/>
              <w:jc w:val="center"/>
              <w:rPr>
                <w:rFonts w:ascii="Times New Roman" w:eastAsia="Times New Roman" w:hAnsi="Times New Roman" w:cs="Times New Roman"/>
                <w:color w:val="555555"/>
                <w:sz w:val="24"/>
                <w:szCs w:val="24"/>
              </w:rPr>
            </w:pPr>
            <w:r w:rsidRPr="009B1B3C">
              <w:rPr>
                <w:rFonts w:ascii="Times New Roman" w:eastAsia="Times New Roman" w:hAnsi="Times New Roman" w:cs="Times New Roman"/>
                <w:b/>
                <w:bCs/>
                <w:color w:val="555555"/>
                <w:sz w:val="24"/>
                <w:szCs w:val="24"/>
                <w:bdr w:val="none" w:sz="0" w:space="0" w:color="auto" w:frame="1"/>
              </w:rPr>
              <w:t>TUQ. BỘ TRƯỞNG</w:t>
            </w:r>
            <w:r w:rsidRPr="009B1B3C">
              <w:rPr>
                <w:rFonts w:ascii="Times New Roman" w:eastAsia="Times New Roman" w:hAnsi="Times New Roman" w:cs="Times New Roman"/>
                <w:b/>
                <w:bCs/>
                <w:color w:val="555555"/>
                <w:sz w:val="24"/>
                <w:szCs w:val="24"/>
                <w:bdr w:val="none" w:sz="0" w:space="0" w:color="auto" w:frame="1"/>
              </w:rPr>
              <w:br/>
              <w:t>TỔNG CỤC TRƯỞNG TỔNG CỤC THUẾ</w:t>
            </w:r>
          </w:p>
          <w:p w:rsidR="009B1B3C" w:rsidRPr="009B1B3C" w:rsidRDefault="009B1B3C" w:rsidP="009B1B3C">
            <w:pPr>
              <w:spacing w:after="0" w:line="293" w:lineRule="atLeast"/>
              <w:jc w:val="center"/>
              <w:rPr>
                <w:rFonts w:ascii="Times New Roman" w:eastAsia="Times New Roman" w:hAnsi="Times New Roman" w:cs="Times New Roman"/>
                <w:color w:val="555555"/>
                <w:sz w:val="24"/>
                <w:szCs w:val="24"/>
              </w:rPr>
            </w:pPr>
            <w:r w:rsidRPr="009B1B3C">
              <w:rPr>
                <w:rFonts w:ascii="Times New Roman" w:eastAsia="Times New Roman" w:hAnsi="Times New Roman" w:cs="Times New Roman"/>
                <w:b/>
                <w:bCs/>
                <w:color w:val="555555"/>
                <w:sz w:val="24"/>
                <w:szCs w:val="24"/>
                <w:bdr w:val="none" w:sz="0" w:space="0" w:color="auto" w:frame="1"/>
              </w:rPr>
              <w:t>Bùi Văn Nam</w:t>
            </w:r>
          </w:p>
        </w:tc>
      </w:tr>
    </w:tbl>
    <w:p w:rsidR="00C95F96" w:rsidRPr="009B1B3C" w:rsidRDefault="00C95F96">
      <w:pPr>
        <w:rPr>
          <w:rFonts w:ascii="Times New Roman" w:hAnsi="Times New Roman" w:cs="Times New Roman"/>
          <w:sz w:val="24"/>
          <w:szCs w:val="24"/>
        </w:rPr>
      </w:pPr>
    </w:p>
    <w:sectPr w:rsidR="00C95F96" w:rsidRPr="009B1B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3C"/>
    <w:rsid w:val="009B1B3C"/>
    <w:rsid w:val="00C95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1B3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1B3C"/>
    <w:rPr>
      <w:b/>
      <w:bCs/>
    </w:rPr>
  </w:style>
  <w:style w:type="character" w:styleId="Emphasis">
    <w:name w:val="Emphasis"/>
    <w:basedOn w:val="DefaultParagraphFont"/>
    <w:uiPriority w:val="20"/>
    <w:qFormat/>
    <w:rsid w:val="009B1B3C"/>
    <w:rPr>
      <w:i/>
      <w:iCs/>
    </w:rPr>
  </w:style>
  <w:style w:type="character" w:customStyle="1" w:styleId="apple-converted-space">
    <w:name w:val="apple-converted-space"/>
    <w:basedOn w:val="DefaultParagraphFont"/>
    <w:rsid w:val="009B1B3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B1B3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B1B3C"/>
    <w:rPr>
      <w:b/>
      <w:bCs/>
    </w:rPr>
  </w:style>
  <w:style w:type="character" w:styleId="Emphasis">
    <w:name w:val="Emphasis"/>
    <w:basedOn w:val="DefaultParagraphFont"/>
    <w:uiPriority w:val="20"/>
    <w:qFormat/>
    <w:rsid w:val="009B1B3C"/>
    <w:rPr>
      <w:i/>
      <w:iCs/>
    </w:rPr>
  </w:style>
  <w:style w:type="character" w:customStyle="1" w:styleId="apple-converted-space">
    <w:name w:val="apple-converted-space"/>
    <w:basedOn w:val="DefaultParagraphFont"/>
    <w:rsid w:val="009B1B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318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670</Words>
  <Characters>3821</Characters>
  <Application>Microsoft Office Word</Application>
  <DocSecurity>0</DocSecurity>
  <Lines>31</Lines>
  <Paragraphs>8</Paragraphs>
  <ScaleCrop>false</ScaleCrop>
  <Company/>
  <LinksUpToDate>false</LinksUpToDate>
  <CharactersWithSpaces>4483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cp:revision>
  <dcterms:created xsi:type="dcterms:W3CDTF">2015-09-12T08:46:00Z</dcterms:created>
  <dcterms:modified xsi:type="dcterms:W3CDTF">2015-09-12T08:49:00Z</dcterms:modified>
</cp:coreProperties>
</file>