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5631"/>
      </w:tblGrid>
      <w:tr w:rsidR="009747B6" w:rsidRPr="009747B6" w:rsidTr="009747B6">
        <w:trPr>
          <w:tblCellSpacing w:w="0" w:type="dxa"/>
        </w:trPr>
        <w:tc>
          <w:tcPr>
            <w:tcW w:w="3348" w:type="dxa"/>
            <w:shd w:val="clear" w:color="auto" w:fill="FFFFFF"/>
            <w:tcMar>
              <w:top w:w="0" w:type="dxa"/>
              <w:left w:w="108" w:type="dxa"/>
              <w:bottom w:w="0" w:type="dxa"/>
              <w:right w:w="108" w:type="dxa"/>
            </w:tcMar>
            <w:hideMark/>
          </w:tcPr>
          <w:p w:rsidR="009747B6" w:rsidRPr="009747B6" w:rsidRDefault="009747B6" w:rsidP="009747B6">
            <w:pPr>
              <w:spacing w:before="120" w:after="0" w:line="234" w:lineRule="atLeast"/>
              <w:jc w:val="center"/>
              <w:rPr>
                <w:rFonts w:eastAsia="Times New Roman" w:cs="Times New Roman"/>
                <w:szCs w:val="28"/>
              </w:rPr>
            </w:pPr>
            <w:r w:rsidRPr="009747B6">
              <w:rPr>
                <w:rFonts w:eastAsia="Times New Roman" w:cs="Times New Roman"/>
                <w:b/>
                <w:bCs/>
                <w:szCs w:val="28"/>
              </w:rPr>
              <w:t>TỔNG LIÊN ĐOÀN LAO ĐỘNG VIỆT NAM</w:t>
            </w:r>
            <w:r w:rsidRPr="009747B6">
              <w:rPr>
                <w:rFonts w:eastAsia="Times New Roman" w:cs="Times New Roman"/>
                <w:b/>
                <w:bCs/>
                <w:szCs w:val="28"/>
              </w:rPr>
              <w:br/>
              <w:t>--------</w:t>
            </w:r>
          </w:p>
        </w:tc>
        <w:tc>
          <w:tcPr>
            <w:tcW w:w="5631" w:type="dxa"/>
            <w:shd w:val="clear" w:color="auto" w:fill="FFFFFF"/>
            <w:tcMar>
              <w:top w:w="0" w:type="dxa"/>
              <w:left w:w="108" w:type="dxa"/>
              <w:bottom w:w="0" w:type="dxa"/>
              <w:right w:w="108" w:type="dxa"/>
            </w:tcMar>
            <w:hideMark/>
          </w:tcPr>
          <w:p w:rsidR="009747B6" w:rsidRPr="009747B6" w:rsidRDefault="009747B6" w:rsidP="009747B6">
            <w:pPr>
              <w:spacing w:before="120" w:after="0" w:line="234" w:lineRule="atLeast"/>
              <w:jc w:val="center"/>
              <w:rPr>
                <w:rFonts w:eastAsia="Times New Roman" w:cs="Times New Roman"/>
                <w:szCs w:val="28"/>
              </w:rPr>
            </w:pPr>
            <w:r w:rsidRPr="009747B6">
              <w:rPr>
                <w:rFonts w:eastAsia="Times New Roman" w:cs="Times New Roman"/>
                <w:b/>
                <w:bCs/>
                <w:szCs w:val="28"/>
              </w:rPr>
              <w:t>CỘNG HÒA XÃ HỘI CHỦ NGHĨA VIỆT NAM</w:t>
            </w:r>
            <w:r w:rsidRPr="009747B6">
              <w:rPr>
                <w:rFonts w:eastAsia="Times New Roman" w:cs="Times New Roman"/>
                <w:b/>
                <w:bCs/>
                <w:szCs w:val="28"/>
              </w:rPr>
              <w:br/>
              <w:t>Độc lập - Tự do - Hạnh phúc</w:t>
            </w:r>
            <w:r w:rsidRPr="009747B6">
              <w:rPr>
                <w:rFonts w:eastAsia="Times New Roman" w:cs="Times New Roman"/>
                <w:b/>
                <w:bCs/>
                <w:szCs w:val="28"/>
              </w:rPr>
              <w:br/>
              <w:t>----------------</w:t>
            </w:r>
          </w:p>
        </w:tc>
      </w:tr>
      <w:tr w:rsidR="009747B6" w:rsidRPr="009747B6" w:rsidTr="009747B6">
        <w:trPr>
          <w:tblCellSpacing w:w="0" w:type="dxa"/>
        </w:trPr>
        <w:tc>
          <w:tcPr>
            <w:tcW w:w="3348" w:type="dxa"/>
            <w:shd w:val="clear" w:color="auto" w:fill="FFFFFF"/>
            <w:tcMar>
              <w:top w:w="0" w:type="dxa"/>
              <w:left w:w="108" w:type="dxa"/>
              <w:bottom w:w="0" w:type="dxa"/>
              <w:right w:w="108" w:type="dxa"/>
            </w:tcMar>
            <w:hideMark/>
          </w:tcPr>
          <w:p w:rsidR="009747B6" w:rsidRPr="009747B6" w:rsidRDefault="009747B6" w:rsidP="009747B6">
            <w:pPr>
              <w:spacing w:before="120" w:after="0" w:line="234" w:lineRule="atLeast"/>
              <w:jc w:val="center"/>
              <w:rPr>
                <w:rFonts w:eastAsia="Times New Roman" w:cs="Times New Roman"/>
                <w:szCs w:val="28"/>
              </w:rPr>
            </w:pPr>
            <w:r w:rsidRPr="009747B6">
              <w:rPr>
                <w:rFonts w:eastAsia="Times New Roman" w:cs="Times New Roman"/>
                <w:szCs w:val="28"/>
              </w:rPr>
              <w:t>Số: 270/QĐ-TLĐ</w:t>
            </w:r>
          </w:p>
        </w:tc>
        <w:tc>
          <w:tcPr>
            <w:tcW w:w="5631" w:type="dxa"/>
            <w:shd w:val="clear" w:color="auto" w:fill="FFFFFF"/>
            <w:tcMar>
              <w:top w:w="0" w:type="dxa"/>
              <w:left w:w="108" w:type="dxa"/>
              <w:bottom w:w="0" w:type="dxa"/>
              <w:right w:w="108" w:type="dxa"/>
            </w:tcMar>
            <w:hideMark/>
          </w:tcPr>
          <w:p w:rsidR="009747B6" w:rsidRPr="009747B6" w:rsidRDefault="009747B6" w:rsidP="009747B6">
            <w:pPr>
              <w:spacing w:before="120" w:after="0" w:line="234" w:lineRule="atLeast"/>
              <w:jc w:val="right"/>
              <w:rPr>
                <w:rFonts w:eastAsia="Times New Roman" w:cs="Times New Roman"/>
                <w:szCs w:val="28"/>
              </w:rPr>
            </w:pPr>
            <w:r w:rsidRPr="009747B6">
              <w:rPr>
                <w:rFonts w:eastAsia="Times New Roman" w:cs="Times New Roman"/>
                <w:i/>
                <w:iCs/>
                <w:szCs w:val="28"/>
              </w:rPr>
              <w:t>Hà Nội, ngày 07 tháng 03 năm 2014</w:t>
            </w:r>
          </w:p>
        </w:tc>
      </w:tr>
    </w:tbl>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 </w:t>
      </w:r>
    </w:p>
    <w:p w:rsidR="009747B6" w:rsidRPr="009747B6" w:rsidRDefault="009747B6" w:rsidP="009747B6">
      <w:pPr>
        <w:shd w:val="clear" w:color="auto" w:fill="FFFFFF"/>
        <w:spacing w:before="120" w:after="0" w:line="234" w:lineRule="atLeast"/>
        <w:jc w:val="center"/>
        <w:rPr>
          <w:rFonts w:eastAsia="Times New Roman" w:cs="Times New Roman"/>
          <w:szCs w:val="28"/>
        </w:rPr>
      </w:pPr>
      <w:r w:rsidRPr="009747B6">
        <w:rPr>
          <w:rFonts w:eastAsia="Times New Roman" w:cs="Times New Roman"/>
          <w:b/>
          <w:bCs/>
          <w:szCs w:val="28"/>
        </w:rPr>
        <w:t>QUYẾT ĐỊNH</w:t>
      </w:r>
    </w:p>
    <w:p w:rsidR="009747B6" w:rsidRPr="009747B6" w:rsidRDefault="009747B6" w:rsidP="009747B6">
      <w:pPr>
        <w:shd w:val="clear" w:color="auto" w:fill="FFFFFF"/>
        <w:spacing w:before="120" w:after="0" w:line="234" w:lineRule="atLeast"/>
        <w:jc w:val="center"/>
        <w:rPr>
          <w:rFonts w:eastAsia="Times New Roman" w:cs="Times New Roman"/>
          <w:szCs w:val="28"/>
        </w:rPr>
      </w:pPr>
      <w:r w:rsidRPr="009747B6">
        <w:rPr>
          <w:rFonts w:eastAsia="Times New Roman" w:cs="Times New Roman"/>
          <w:szCs w:val="28"/>
        </w:rPr>
        <w:t>VỀ VIỆC BAN HÀNH QUY ĐỊNH VỀ PHÂN CẤP THU, PHÂN PHỐI NGUỒN THU TÀI CHÍNH CÔNG ĐOÀN</w:t>
      </w:r>
    </w:p>
    <w:p w:rsidR="009747B6" w:rsidRPr="009747B6" w:rsidRDefault="009747B6" w:rsidP="009747B6">
      <w:pPr>
        <w:shd w:val="clear" w:color="auto" w:fill="FFFFFF"/>
        <w:spacing w:before="120" w:after="0" w:line="234" w:lineRule="atLeast"/>
        <w:jc w:val="center"/>
        <w:rPr>
          <w:rFonts w:eastAsia="Times New Roman" w:cs="Times New Roman"/>
          <w:szCs w:val="28"/>
        </w:rPr>
      </w:pPr>
      <w:r w:rsidRPr="009747B6">
        <w:rPr>
          <w:rFonts w:eastAsia="Times New Roman" w:cs="Times New Roman"/>
          <w:b/>
          <w:bCs/>
          <w:szCs w:val="28"/>
        </w:rPr>
        <w:t>ĐOÀN CHỦ TỊCH TỔNG LIÊN ĐOÀN LAO ĐỘNG VIỆT NAM</w:t>
      </w:r>
    </w:p>
    <w:p w:rsidR="00B70F51" w:rsidRDefault="009747B6" w:rsidP="009747B6">
      <w:pPr>
        <w:shd w:val="clear" w:color="auto" w:fill="FFFFFF"/>
        <w:spacing w:after="0" w:line="234" w:lineRule="atLeast"/>
        <w:jc w:val="left"/>
        <w:rPr>
          <w:rFonts w:eastAsia="Times New Roman" w:cs="Times New Roman"/>
          <w:i/>
          <w:iCs/>
          <w:szCs w:val="28"/>
        </w:rPr>
      </w:pPr>
      <w:r w:rsidRPr="009747B6">
        <w:rPr>
          <w:rFonts w:eastAsia="Times New Roman" w:cs="Times New Roman"/>
          <w:i/>
          <w:iCs/>
          <w:szCs w:val="28"/>
        </w:rPr>
        <w:t>- Căn cứ Luật Công đoàn năm 2012;</w:t>
      </w:r>
      <w:r w:rsidR="00B70F51">
        <w:rPr>
          <w:rFonts w:eastAsia="Times New Roman" w:cs="Times New Roman"/>
          <w:i/>
          <w:iCs/>
          <w:szCs w:val="28"/>
        </w:rPr>
        <w:t>Điều lệ Công đoàn Việt Nam năm 2013;</w:t>
      </w:r>
    </w:p>
    <w:p w:rsidR="009747B6" w:rsidRPr="009747B6" w:rsidRDefault="009747B6" w:rsidP="009747B6">
      <w:pPr>
        <w:shd w:val="clear" w:color="auto" w:fill="FFFFFF"/>
        <w:spacing w:after="0" w:line="234" w:lineRule="atLeast"/>
        <w:jc w:val="left"/>
        <w:rPr>
          <w:rFonts w:eastAsia="Times New Roman" w:cs="Times New Roman"/>
          <w:szCs w:val="28"/>
        </w:rPr>
      </w:pPr>
      <w:r w:rsidRPr="009747B6">
        <w:rPr>
          <w:rFonts w:eastAsia="Times New Roman" w:cs="Times New Roman"/>
          <w:i/>
          <w:iCs/>
          <w:szCs w:val="28"/>
        </w:rPr>
        <w:t> - Căn cứ Nghị định số </w:t>
      </w:r>
      <w:hyperlink r:id="rId5" w:tgtFrame="_blank" w:history="1">
        <w:r w:rsidRPr="009747B6">
          <w:rPr>
            <w:rFonts w:eastAsia="Times New Roman" w:cs="Times New Roman"/>
            <w:i/>
            <w:iCs/>
            <w:szCs w:val="28"/>
          </w:rPr>
          <w:t>191/2013/NĐ-CP</w:t>
        </w:r>
      </w:hyperlink>
      <w:r w:rsidRPr="009747B6">
        <w:rPr>
          <w:rFonts w:eastAsia="Times New Roman" w:cs="Times New Roman"/>
          <w:i/>
          <w:iCs/>
          <w:szCs w:val="28"/>
        </w:rPr>
        <w:t> ngày 21 tháng 11 năm 2013 của Chính phủ quy định chi tiết về tài chính</w:t>
      </w:r>
      <w:bookmarkStart w:id="0" w:name="_GoBack"/>
      <w:bookmarkEnd w:id="0"/>
      <w:r w:rsidRPr="009747B6">
        <w:rPr>
          <w:rFonts w:eastAsia="Times New Roman" w:cs="Times New Roman"/>
          <w:i/>
          <w:iCs/>
          <w:szCs w:val="28"/>
        </w:rPr>
        <w:t xml:space="preserve"> công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i/>
          <w:iCs/>
          <w:szCs w:val="28"/>
        </w:rPr>
        <w:t>Theo đề nghị của Ban Tài chính Tổng Liên đoàn.</w:t>
      </w:r>
    </w:p>
    <w:p w:rsidR="009747B6" w:rsidRPr="009747B6" w:rsidRDefault="009747B6" w:rsidP="009747B6">
      <w:pPr>
        <w:shd w:val="clear" w:color="auto" w:fill="FFFFFF"/>
        <w:spacing w:before="120" w:after="0" w:line="234" w:lineRule="atLeast"/>
        <w:jc w:val="center"/>
        <w:rPr>
          <w:rFonts w:eastAsia="Times New Roman" w:cs="Times New Roman"/>
          <w:szCs w:val="28"/>
        </w:rPr>
      </w:pPr>
      <w:r w:rsidRPr="009747B6">
        <w:rPr>
          <w:rFonts w:eastAsia="Times New Roman" w:cs="Times New Roman"/>
          <w:b/>
          <w:bCs/>
          <w:szCs w:val="28"/>
        </w:rPr>
        <w:t>QUYẾT ĐỊNH</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Điều 1:</w:t>
      </w:r>
      <w:r w:rsidRPr="009747B6">
        <w:rPr>
          <w:rFonts w:eastAsia="Times New Roman" w:cs="Times New Roman"/>
          <w:szCs w:val="28"/>
        </w:rPr>
        <w:t> Ban hành kèm theo Quyết định này Quy định về phân cấp thu, phân phối nguồn thu tài chính công đoàn.</w:t>
      </w:r>
    </w:p>
    <w:p w:rsidR="009747B6" w:rsidRPr="009747B6" w:rsidRDefault="009747B6" w:rsidP="009747B6">
      <w:pPr>
        <w:shd w:val="clear" w:color="auto" w:fill="FFFFFF"/>
        <w:spacing w:after="0" w:line="234" w:lineRule="atLeast"/>
        <w:jc w:val="left"/>
        <w:rPr>
          <w:rFonts w:eastAsia="Times New Roman" w:cs="Times New Roman"/>
          <w:szCs w:val="28"/>
        </w:rPr>
      </w:pPr>
      <w:r w:rsidRPr="009747B6">
        <w:rPr>
          <w:rFonts w:eastAsia="Times New Roman" w:cs="Times New Roman"/>
          <w:b/>
          <w:bCs/>
          <w:szCs w:val="28"/>
        </w:rPr>
        <w:t>Điều 2:</w:t>
      </w:r>
      <w:r w:rsidRPr="009747B6">
        <w:rPr>
          <w:rFonts w:eastAsia="Times New Roman" w:cs="Times New Roman"/>
          <w:szCs w:val="28"/>
        </w:rPr>
        <w:t> Quyết định này có hiệu lực thi hành từ ngày ký. Riêng quy định kèm theo quyết định này thực hiện từ ngày 01/01/2014, thay thế Quyết định số</w:t>
      </w:r>
      <w:hyperlink r:id="rId6" w:tgtFrame="_blank" w:history="1">
        <w:r w:rsidRPr="009747B6">
          <w:rPr>
            <w:rFonts w:eastAsia="Times New Roman" w:cs="Times New Roman"/>
            <w:szCs w:val="28"/>
          </w:rPr>
          <w:t> 1935/QĐ-TLĐ</w:t>
        </w:r>
      </w:hyperlink>
      <w:r w:rsidRPr="009747B6">
        <w:rPr>
          <w:rFonts w:eastAsia="Times New Roman" w:cs="Times New Roman"/>
          <w:szCs w:val="28"/>
        </w:rPr>
        <w:t> ngày 29 tháng 11 năm 2013 của Tổng Liên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Điều 3:</w:t>
      </w:r>
      <w:r w:rsidRPr="009747B6">
        <w:rPr>
          <w:rFonts w:eastAsia="Times New Roman" w:cs="Times New Roman"/>
          <w:szCs w:val="28"/>
        </w:rPr>
        <w:t> Các ban, đơn vị trực thuộc Tổng Liên đoàn, các cấp công đoàn chịu trách nhiệm thi hành Quyết định này./.</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3866"/>
        <w:gridCol w:w="5025"/>
      </w:tblGrid>
      <w:tr w:rsidR="009747B6" w:rsidRPr="009747B6" w:rsidTr="009747B6">
        <w:trPr>
          <w:tblCellSpacing w:w="0" w:type="dxa"/>
        </w:trPr>
        <w:tc>
          <w:tcPr>
            <w:tcW w:w="3866" w:type="dxa"/>
            <w:shd w:val="clear" w:color="auto" w:fill="FFFFFF"/>
            <w:tcMar>
              <w:top w:w="0" w:type="dxa"/>
              <w:left w:w="108" w:type="dxa"/>
              <w:bottom w:w="0" w:type="dxa"/>
              <w:right w:w="108" w:type="dxa"/>
            </w:tcMar>
            <w:hideMark/>
          </w:tcPr>
          <w:p w:rsidR="009747B6" w:rsidRPr="009747B6" w:rsidRDefault="009747B6" w:rsidP="009747B6">
            <w:pPr>
              <w:spacing w:before="120" w:after="0" w:line="234" w:lineRule="atLeast"/>
              <w:jc w:val="left"/>
              <w:rPr>
                <w:rFonts w:eastAsia="Times New Roman" w:cs="Times New Roman"/>
                <w:szCs w:val="28"/>
              </w:rPr>
            </w:pPr>
            <w:r w:rsidRPr="009747B6">
              <w:rPr>
                <w:rFonts w:eastAsia="Times New Roman" w:cs="Times New Roman"/>
                <w:szCs w:val="28"/>
              </w:rPr>
              <w:t> </w:t>
            </w:r>
          </w:p>
          <w:p w:rsidR="009747B6" w:rsidRPr="009747B6" w:rsidRDefault="009747B6" w:rsidP="009747B6">
            <w:pPr>
              <w:spacing w:before="120" w:after="0" w:line="234" w:lineRule="atLeast"/>
              <w:jc w:val="left"/>
              <w:rPr>
                <w:rFonts w:eastAsia="Times New Roman" w:cs="Times New Roman"/>
                <w:szCs w:val="28"/>
              </w:rPr>
            </w:pPr>
            <w:r w:rsidRPr="009747B6">
              <w:rPr>
                <w:rFonts w:eastAsia="Times New Roman" w:cs="Times New Roman"/>
                <w:b/>
                <w:bCs/>
                <w:i/>
                <w:iCs/>
                <w:szCs w:val="28"/>
              </w:rPr>
              <w:t>Nơi nhận:</w:t>
            </w:r>
            <w:r w:rsidRPr="009747B6">
              <w:rPr>
                <w:rFonts w:eastAsia="Times New Roman" w:cs="Times New Roman"/>
                <w:b/>
                <w:bCs/>
                <w:i/>
                <w:iCs/>
                <w:szCs w:val="28"/>
              </w:rPr>
              <w:br/>
            </w:r>
            <w:r w:rsidRPr="009747B6">
              <w:rPr>
                <w:rFonts w:eastAsia="Times New Roman" w:cs="Times New Roman"/>
                <w:szCs w:val="28"/>
              </w:rPr>
              <w:t>- Như Điều 3;</w:t>
            </w:r>
            <w:r w:rsidRPr="009747B6">
              <w:rPr>
                <w:rFonts w:eastAsia="Times New Roman" w:cs="Times New Roman"/>
                <w:szCs w:val="28"/>
              </w:rPr>
              <w:br/>
              <w:t>- Các đ/c UVĐCT TLĐ (Để báo cáo)</w:t>
            </w:r>
            <w:r w:rsidRPr="009747B6">
              <w:rPr>
                <w:rFonts w:eastAsia="Times New Roman" w:cs="Times New Roman"/>
                <w:szCs w:val="28"/>
              </w:rPr>
              <w:br/>
              <w:t>- Lưu VT TLĐ.</w:t>
            </w:r>
          </w:p>
        </w:tc>
        <w:tc>
          <w:tcPr>
            <w:tcW w:w="5025" w:type="dxa"/>
            <w:shd w:val="clear" w:color="auto" w:fill="FFFFFF"/>
            <w:tcMar>
              <w:top w:w="0" w:type="dxa"/>
              <w:left w:w="108" w:type="dxa"/>
              <w:bottom w:w="0" w:type="dxa"/>
              <w:right w:w="108" w:type="dxa"/>
            </w:tcMar>
            <w:hideMark/>
          </w:tcPr>
          <w:p w:rsidR="009747B6" w:rsidRPr="009747B6" w:rsidRDefault="009747B6" w:rsidP="009747B6">
            <w:pPr>
              <w:spacing w:before="120" w:after="0" w:line="234" w:lineRule="atLeast"/>
              <w:jc w:val="center"/>
              <w:rPr>
                <w:rFonts w:eastAsia="Times New Roman" w:cs="Times New Roman"/>
                <w:szCs w:val="28"/>
              </w:rPr>
            </w:pPr>
            <w:r w:rsidRPr="009747B6">
              <w:rPr>
                <w:rFonts w:eastAsia="Times New Roman" w:cs="Times New Roman"/>
                <w:b/>
                <w:bCs/>
                <w:szCs w:val="28"/>
              </w:rPr>
              <w:t>TM. ĐOÀN CHỦ TỊCH</w:t>
            </w:r>
            <w:r w:rsidRPr="009747B6">
              <w:rPr>
                <w:rFonts w:eastAsia="Times New Roman" w:cs="Times New Roman"/>
                <w:b/>
                <w:bCs/>
                <w:szCs w:val="28"/>
              </w:rPr>
              <w:br/>
              <w:t>CHỦ TỊCH</w:t>
            </w:r>
            <w:r w:rsidRPr="009747B6">
              <w:rPr>
                <w:rFonts w:eastAsia="Times New Roman" w:cs="Times New Roman"/>
                <w:b/>
                <w:bCs/>
                <w:szCs w:val="28"/>
              </w:rPr>
              <w:br/>
            </w:r>
            <w:r w:rsidRPr="009747B6">
              <w:rPr>
                <w:rFonts w:eastAsia="Times New Roman" w:cs="Times New Roman"/>
                <w:b/>
                <w:bCs/>
                <w:szCs w:val="28"/>
              </w:rPr>
              <w:br/>
            </w:r>
            <w:r w:rsidRPr="009747B6">
              <w:rPr>
                <w:rFonts w:eastAsia="Times New Roman" w:cs="Times New Roman"/>
                <w:b/>
                <w:bCs/>
                <w:szCs w:val="28"/>
              </w:rPr>
              <w:br/>
            </w:r>
            <w:r w:rsidRPr="009747B6">
              <w:rPr>
                <w:rFonts w:eastAsia="Times New Roman" w:cs="Times New Roman"/>
                <w:b/>
                <w:bCs/>
                <w:szCs w:val="28"/>
              </w:rPr>
              <w:br/>
            </w:r>
            <w:r w:rsidRPr="009747B6">
              <w:rPr>
                <w:rFonts w:eastAsia="Times New Roman" w:cs="Times New Roman"/>
                <w:b/>
                <w:bCs/>
                <w:szCs w:val="28"/>
              </w:rPr>
              <w:br/>
              <w:t>Đặng Ngọc Tùng</w:t>
            </w:r>
          </w:p>
        </w:tc>
      </w:tr>
    </w:tbl>
    <w:p w:rsidR="009747B6" w:rsidRPr="009747B6" w:rsidRDefault="009747B6" w:rsidP="009747B6">
      <w:pPr>
        <w:shd w:val="clear" w:color="auto" w:fill="FFFFFF"/>
        <w:spacing w:after="0" w:line="234" w:lineRule="atLeast"/>
        <w:jc w:val="left"/>
        <w:rPr>
          <w:rFonts w:eastAsia="Times New Roman" w:cs="Times New Roman"/>
          <w:szCs w:val="28"/>
        </w:rPr>
      </w:pPr>
      <w:bookmarkStart w:id="1" w:name="bookmark0"/>
      <w:r w:rsidRPr="009747B6">
        <w:rPr>
          <w:rFonts w:eastAsia="Times New Roman" w:cs="Times New Roman"/>
          <w:szCs w:val="28"/>
        </w:rPr>
        <w:t> </w:t>
      </w:r>
      <w:bookmarkEnd w:id="1"/>
    </w:p>
    <w:p w:rsidR="009747B6" w:rsidRPr="009747B6" w:rsidRDefault="009747B6" w:rsidP="009747B6">
      <w:pPr>
        <w:shd w:val="clear" w:color="auto" w:fill="FFFFFF"/>
        <w:spacing w:before="120" w:after="0" w:line="234" w:lineRule="atLeast"/>
        <w:jc w:val="center"/>
        <w:rPr>
          <w:rFonts w:eastAsia="Times New Roman" w:cs="Times New Roman"/>
          <w:szCs w:val="28"/>
        </w:rPr>
      </w:pPr>
      <w:r w:rsidRPr="009747B6">
        <w:rPr>
          <w:rFonts w:eastAsia="Times New Roman" w:cs="Times New Roman"/>
          <w:b/>
          <w:bCs/>
          <w:szCs w:val="28"/>
        </w:rPr>
        <w:t>QUY ĐỊNH</w:t>
      </w:r>
    </w:p>
    <w:p w:rsidR="009747B6" w:rsidRPr="009747B6" w:rsidRDefault="009747B6" w:rsidP="009747B6">
      <w:pPr>
        <w:shd w:val="clear" w:color="auto" w:fill="FFFFFF"/>
        <w:spacing w:before="120" w:after="0" w:line="234" w:lineRule="atLeast"/>
        <w:jc w:val="center"/>
        <w:rPr>
          <w:rFonts w:eastAsia="Times New Roman" w:cs="Times New Roman"/>
          <w:szCs w:val="28"/>
        </w:rPr>
      </w:pPr>
      <w:r w:rsidRPr="009747B6">
        <w:rPr>
          <w:rFonts w:eastAsia="Times New Roman" w:cs="Times New Roman"/>
          <w:szCs w:val="28"/>
        </w:rPr>
        <w:t>VỀ PHÂN CẤP THU, PHÂN PHỐI NGUỒN THU TÀI CHÍNH CÔNG ĐOÀN</w:t>
      </w:r>
      <w:r w:rsidRPr="009747B6">
        <w:rPr>
          <w:rFonts w:eastAsia="Times New Roman" w:cs="Times New Roman"/>
          <w:szCs w:val="28"/>
        </w:rPr>
        <w:br/>
      </w:r>
      <w:r w:rsidRPr="009747B6">
        <w:rPr>
          <w:rFonts w:eastAsia="Times New Roman" w:cs="Times New Roman"/>
          <w:i/>
          <w:iCs/>
          <w:szCs w:val="28"/>
        </w:rPr>
        <w:t>(Ban hành kèm theo Quyết định số 270 /QĐ-TLĐ ngày 07 tháng 03 năm 2014 của Đoàn Chủ tịch Tổng Liên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Chương 1.</w:t>
      </w:r>
    </w:p>
    <w:p w:rsidR="009747B6" w:rsidRPr="009747B6" w:rsidRDefault="009747B6" w:rsidP="009747B6">
      <w:pPr>
        <w:shd w:val="clear" w:color="auto" w:fill="FFFFFF"/>
        <w:spacing w:before="120" w:after="0" w:line="234" w:lineRule="atLeast"/>
        <w:jc w:val="center"/>
        <w:rPr>
          <w:rFonts w:eastAsia="Times New Roman" w:cs="Times New Roman"/>
          <w:szCs w:val="28"/>
        </w:rPr>
      </w:pPr>
      <w:r w:rsidRPr="009747B6">
        <w:rPr>
          <w:rFonts w:eastAsia="Times New Roman" w:cs="Times New Roman"/>
          <w:b/>
          <w:bCs/>
          <w:szCs w:val="28"/>
        </w:rPr>
        <w:lastRenderedPageBreak/>
        <w:t>QUY ĐỊNH CHUNG</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Điều 1. Phạm vi điều chỉnh.</w:t>
      </w:r>
    </w:p>
    <w:p w:rsidR="009747B6" w:rsidRPr="009747B6" w:rsidRDefault="009747B6" w:rsidP="009747B6">
      <w:pPr>
        <w:shd w:val="clear" w:color="auto" w:fill="FFFFFF"/>
        <w:spacing w:after="0" w:line="234" w:lineRule="atLeast"/>
        <w:jc w:val="left"/>
        <w:rPr>
          <w:rFonts w:eastAsia="Times New Roman" w:cs="Times New Roman"/>
          <w:szCs w:val="28"/>
        </w:rPr>
      </w:pPr>
      <w:r w:rsidRPr="009747B6">
        <w:rPr>
          <w:rFonts w:eastAsia="Times New Roman" w:cs="Times New Roman"/>
          <w:szCs w:val="28"/>
        </w:rPr>
        <w:t>Quy định này quy định phân cấp thu, phân phối nguồn thu tài chính công đoàn theo Luật Công đoàn năm 2012 và Nghị định số </w:t>
      </w:r>
      <w:hyperlink r:id="rId7" w:tgtFrame="_blank" w:history="1">
        <w:r w:rsidRPr="009747B6">
          <w:rPr>
            <w:rFonts w:eastAsia="Times New Roman" w:cs="Times New Roman"/>
            <w:szCs w:val="28"/>
          </w:rPr>
          <w:t>191/2013/NĐ-CP</w:t>
        </w:r>
      </w:hyperlink>
      <w:r w:rsidRPr="009747B6">
        <w:rPr>
          <w:rFonts w:eastAsia="Times New Roman" w:cs="Times New Roman"/>
          <w:szCs w:val="28"/>
        </w:rPr>
        <w:t> ngày 21 tháng 11 năm 2013 của Chính phủ quy định chi tiết về tài chính công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Điều 2. Đối tượng áp dụng.</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Đối tượng áp dụng là các cấp công đoàn theo Điều lệ Công đoàn Việt Nam, bao gồm:</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 Công đoàn cơ sở, nghiệp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 Liên đoàn Lao động huyện, quận, thị xã, thành phố thuộc tỉnh; Công đoàn ngành địa phương; Công đoàn các khu công nghiệp, khu chế xuất, khu kinh tế, khu công nghệ cao; Công đoàn Tổng Công ty và một số công đoàn cấp trên trực tiếp cơ sở có đặc thù khác (sau đây gọi chung là công đoàn cấp trên trực tiếp cơ sở).</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 Liên đoàn Lao động tỉnh, thành phố trực thuộc Trung ương; Công đoàn ngành Trung ương và tương đương (sau đây gọi chung là Liên đoàn Lao động cấp tỉnh, thành phố và tương đương).</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 Tổng Liên đoàn Lao động Việt Nam (sau đây gọi chung là Tổng Liên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Điều 3. Nguyên tắc phân cấp thu và phân phối nguồn thu tài chính công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1- Nguyên tắc phân cấp thu tài chính công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Phân cấp thu tài chính công đoàn nhằm tạo động lực thúc đẩy khai thác nguồn thu, không làm ảnh hưởng đến tính chủ động trong sử dụng nguồn thu tài chính công đoàn phục vụ hoạt động của các cấp công đoàn. Đơn vị được phân cấp thu phải thu đúng, thu đủ, thu kịp thời các khoản thu theo quy định của pháp luật và Tổng Liên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2- Nguyên tắc phân phối nguồn thu tài chính công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a- Nguồn thu để phân phối là kinh phí và đoàn phí công đoàn. Phân phối nguồn thu tài chính công đoàn phải đảm bảo công khai, minh bạch, tạo điều kiện chủ động cho các cấp công đoàn trong việc khai thác và sử dụng nguồn thu tài chính công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b- Định mức chi để giao dự toán cho Liên đoàn Lao động cấp tỉnh, thành phố và tương đương đối với các đơn vị nộp kinh phí về Tổng Liên đoàn cao hơn định mức chi của đơn vị tự cân đối; định mức chi của đơn vị tự cân đối cao hơn định mức chi của đơn vị được cấp hỗ trợ.</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Chương 2.</w:t>
      </w:r>
    </w:p>
    <w:p w:rsidR="009747B6" w:rsidRPr="009747B6" w:rsidRDefault="009747B6" w:rsidP="009747B6">
      <w:pPr>
        <w:shd w:val="clear" w:color="auto" w:fill="FFFFFF"/>
        <w:spacing w:before="120" w:after="0" w:line="234" w:lineRule="atLeast"/>
        <w:jc w:val="center"/>
        <w:rPr>
          <w:rFonts w:eastAsia="Times New Roman" w:cs="Times New Roman"/>
          <w:szCs w:val="28"/>
        </w:rPr>
      </w:pPr>
      <w:r w:rsidRPr="009747B6">
        <w:rPr>
          <w:rFonts w:eastAsia="Times New Roman" w:cs="Times New Roman"/>
          <w:b/>
          <w:bCs/>
          <w:szCs w:val="28"/>
        </w:rPr>
        <w:t>QUY ĐỊNH VỀ PHÂN CẤP THU TÀI CHÍNH CÔNG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Điều 4. Phân cấp thu kinh phí công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lastRenderedPageBreak/>
        <w:t>Kinh phí công đoàn do cơ quan, tổ chức, doanh nghiệp đóng cho tổ chức công đoàn theo quy định của Luật Công đoàn và Nghị định của Chính phủ quy định chi tiết về tài chính công đoàn do Tổng Liên đoàn thống nhất thu và phân cấp cho các cấp công đoàn như sau:</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1- Đối với đơn vị hành chính sự nghiệp do ngân sách địa phương đảm bảo toàn bộ hoặc một phần kinh phí hoạt động thường xuyên: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Liên đoàn Lao động cấp tỉnh, thành phố trực tiếp thu hoặc phân cấp cho công đoàn cấp trên trực tiếp cơ sở thu và thông báo cho đối tượng đóng kinh phí công đoàn để thực hiện; thông báo cho Kho bạc Nhà nước tỉnh, thành phố hoặc Kho bạc Nhà nước quận, huyện, thị xã, thành phố trực thuộc tỉnh để phối hợp thu.</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2- Đối với đơn vị hành chính sự nghiệp do ngân sách Trung ương đảm bảo toàn bộ hoặc một phần kinh phí hoạt động thường xuyên: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Liên đoàn Lao động cấp tỉnh, thành phố và tương đương được phân cấp quản lý tài chính các công đoàn cơ sở này thu hoặc phân cấp cho công đoàn cấp trên trực tiếp cơ sở thu và thông báo cho đối tượng đóng kinh phí công đoàn để thực hiện; đồng thời thông báo cho Kho bạc Nhà nước tỉnh, thành phố hoặc Kho bạc Nhà nước quận, huyện, thị xã, thành phố trực thuộc tỉnh để phối hợp thu.</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3- Đối với tổ chức, doanh nghiệp, đơn vị sự nghiệp không thụ hưởng kinh phí hoạt động từ ngân sách Nhà nước.</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a- Cơ quan, tổ chức, doanh nghiệp có công đoàn cơ sở: Liên đoàn Lao động cấp tỉnh, thành phố và tương đương trực tiếp thu hoặc phân cấp cho công đoàn cấp trên trực tiếp cơ sở thu và thông báo cho đối tượng đóng kinh phí công đoàn để thực hiện.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Liên đoàn Lao động cấp tỉnh thành phố và tương đương; Công đoàn cấp trên trực tiếp cơ sở được phân cấp thu kinh phí công đoàn cho công đoàn cơ sở doanh nghiệp nhà nước. Đối với công đoàn cơ sở doanh nghiệp khu vực ngoài nhà nước có 10.000 lao động trở lên, có tài khoản, có kế toán công đoàn chuyên trách, ba năm liền kề thực hiện tốt việc thu kinh phí công đoàn, báo cáo dự toán, quyết toán thu chi tài chính công đoàn, nộp nghĩa vụ lên công đoàn cấp trên đầy đủ, kịp thời được phân cấp thu kinh phí công đoàn theo quy định này.</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b- Cơ quan, tổ chức, doanh nghiệp chưa thành lập công đoàn cơ sở: Liên đoàn Lao động cấp tỉnh, thành phố và tương đương trực tiếp thu hoặc phân cấp cho công đoàn cấp trên trực tiếp cơ sở thu và thông báo cho đối tượng đóng kinh phí công đoàn để thực hiện.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4- Các cấp công đoàn phải ban hành Quyết định phân cấp thu kèm theo danh sách đối tượng đóng kinh phí công đoàn được phân cấp để công đoàn các cấp dưới thực hiện.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Điều 5. Phân cấp thu đoàn phí công đoàn, thu khác.</w:t>
      </w:r>
    </w:p>
    <w:p w:rsidR="009747B6" w:rsidRPr="009747B6" w:rsidRDefault="009747B6" w:rsidP="009747B6">
      <w:pPr>
        <w:shd w:val="clear" w:color="auto" w:fill="FFFFFF"/>
        <w:spacing w:after="0" w:line="234" w:lineRule="atLeast"/>
        <w:jc w:val="left"/>
        <w:rPr>
          <w:rFonts w:eastAsia="Times New Roman" w:cs="Times New Roman"/>
          <w:szCs w:val="28"/>
        </w:rPr>
      </w:pPr>
      <w:r w:rsidRPr="009747B6">
        <w:rPr>
          <w:rFonts w:eastAsia="Times New Roman" w:cs="Times New Roman"/>
          <w:szCs w:val="28"/>
        </w:rPr>
        <w:lastRenderedPageBreak/>
        <w:t>1- Đoàn phí công đoàn do đoàn viên đóng theo quy định của Điều lệ Công đoàn Việt Nam và Hướng dẫn số</w:t>
      </w:r>
      <w:hyperlink r:id="rId8" w:tgtFrame="_blank" w:history="1">
        <w:r w:rsidRPr="009747B6">
          <w:rPr>
            <w:rFonts w:eastAsia="Times New Roman" w:cs="Times New Roman"/>
            <w:szCs w:val="28"/>
          </w:rPr>
          <w:t> 258/HD-TLĐ</w:t>
        </w:r>
      </w:hyperlink>
      <w:r w:rsidRPr="009747B6">
        <w:rPr>
          <w:rFonts w:eastAsia="Times New Roman" w:cs="Times New Roman"/>
          <w:szCs w:val="28"/>
        </w:rPr>
        <w:t> ngày 07 tháng 03 năm 2014 của Tổng Liên đoàn, phân cấp cho công đoàn cơ sở thu.</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2- Nguồn thu khác theo Khoản 4 Điều 26 Luật Công đoàn năm 2012 phân cấp thu cho đơn vị có phát sinh nguồn thu này.</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Chương 3.</w:t>
      </w:r>
    </w:p>
    <w:p w:rsidR="009747B6" w:rsidRPr="009747B6" w:rsidRDefault="009747B6" w:rsidP="009747B6">
      <w:pPr>
        <w:shd w:val="clear" w:color="auto" w:fill="FFFFFF"/>
        <w:spacing w:before="120" w:after="0" w:line="234" w:lineRule="atLeast"/>
        <w:jc w:val="center"/>
        <w:rPr>
          <w:rFonts w:eastAsia="Times New Roman" w:cs="Times New Roman"/>
          <w:szCs w:val="28"/>
        </w:rPr>
      </w:pPr>
      <w:r w:rsidRPr="009747B6">
        <w:rPr>
          <w:rFonts w:eastAsia="Times New Roman" w:cs="Times New Roman"/>
          <w:b/>
          <w:bCs/>
          <w:szCs w:val="28"/>
        </w:rPr>
        <w:t>PHÂN PHỐI NGUỒN THU TÀI CHÍNH CÔNG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Điều 6. Phân phối nguồn thu tài chính cho công đoàn cơ sở.</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1- Công đoàn cơ sở được sử dụng 65% tổng số thu kinh phí công đoàn, 60% tổng số thu đoàn phí công đoàn và 100% tổng số thu khác của đơn vị.</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2- Nộp kinh phí lên công đoàn cấp trên của công đoàn cơ sở được phân cấp thu kinh phí công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Công đoàn cơ sở được phân cấp thu kinh phí công đoàn phải nộp lên công đoàn cấp trên được phân cấp quản lý tài chính công đoàn cơ sở 35% tổng số thu kinh phí công đoàn và 40% tổng số thu đoàn phí công đoàn. Trong năm nộp theo dự toán, khi có quyết toán nộp theo số thu quyết toán.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3- Cấp kinh phí công đoàn cho công đoàn cơ sở không được phân cấp thu kinh phí công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Công đoàn cấp trên được phân cấp thu kinh phí công đoàn khi nhận được kinh phí công đoàn của cơ quan, tổ chức, doanh nghiệp đóng có trách nhiệm cấp 65% tổng số thu kinh phí công đoàn thu được cho công đoàn cơ sở (khi cấp được bù trừ với 40% tổng số thu đoàn phí công đoàn cơ sở phải nộp công đoàn cấp trên).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4- Đối với cơ quan, tổ chức, doanh nghiệp chưa thành lập công đoàn cơ sở: Công đoàn cấp trên được phân cấp thu kinh phí công đoàn khi nhận được kinh phí của cơ quan, tổ chức, doanh nghiệp đóng, được sử dụng 65% tổng số thu để chi cho hoạt động tuyên truyền, phát triển đoàn viên, thành lập công đoàn cơ sở, ký thỏa ước lao động tập thể, bảo vệ, chăm lo cho người lao động tại các đơn vị này. Cuối năm số kinh phí sử dụng cho các hoạt động trên chưa hết chuyển thành tích lũy và trả lại cho công đoàn cơ sở sau khi công đoàn cơ sở của cơ quan, tổ chức, doanh nghiệp được thành lập.</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Điều 7. Phân phối nguồn thu tài chính cho công đoàn các cấp trên cơ sở.</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Công đoàn các cấp trên cơ sở được sử dụng 35% tổng số thu kinh phí công đoàn, 40% tổng số thu đoàn phí công đoàn. Nguồn thu khác của đơn vị nào đơn vị đó được sử dụng.</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1- Phân phối nguồn thu tài chính công đoàn giữa Liên đoàn Lao động cấp tỉnh, thành phố và tương đương với công đoàn cấp trên trực tiếp cơ sở do Liên đoàn lao động cấp tỉnh, thành phố và tương đương quy định.</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lastRenderedPageBreak/>
        <w:t>2- Phân phối nguồn thu tài chính công đoàn giữa Tổng Liên đoàn với Liên đoàn Lao động cấp tỉnh, thành phố và tương đương.</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a- Đơn vị nộp kinh phí về Tổng Liên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Liên đoàn Lao động cấp tỉnh, thành phố và tương đương có số thu kinh phí và đoàn phí công đoàn về cấp trên chênh lệch trên 10% so với số chi của đơn vị (bao gồm công đoàn cấp trên trực tiếp cơ sở, LĐLĐ cấp tỉnh, thành phố và tương đương) tính theo định mức chi Tổng Liên đoàn thông báo hàng năm, phải nộp kinh phí về Tổng Liên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Số kinh phí nộp về Tổng Liên đoàn = (Tổng hợp toàn bộ số thu kinh phí công đoàn, đoàn phí công đoàn của đơn vị) x mức nộp. Mức nộp như sau:</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a.1- Số thu đến 500 tỷ đồng.</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967"/>
        <w:gridCol w:w="4980"/>
        <w:gridCol w:w="2944"/>
      </w:tblGrid>
      <w:tr w:rsidR="009747B6" w:rsidRPr="009747B6" w:rsidTr="009747B6">
        <w:trPr>
          <w:trHeight w:val="20"/>
          <w:tblCellSpacing w:w="0" w:type="dxa"/>
        </w:trPr>
        <w:tc>
          <w:tcPr>
            <w:tcW w:w="967" w:type="dxa"/>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b/>
                <w:bCs/>
                <w:szCs w:val="28"/>
              </w:rPr>
              <w:t>Bậc</w:t>
            </w:r>
          </w:p>
        </w:tc>
        <w:tc>
          <w:tcPr>
            <w:tcW w:w="4980" w:type="dxa"/>
            <w:tcBorders>
              <w:top w:val="single" w:sz="8" w:space="0" w:color="auto"/>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b/>
                <w:bCs/>
                <w:szCs w:val="28"/>
              </w:rPr>
              <w:t>Số thu</w:t>
            </w:r>
          </w:p>
        </w:tc>
        <w:tc>
          <w:tcPr>
            <w:tcW w:w="2944" w:type="dxa"/>
            <w:tcBorders>
              <w:top w:val="single" w:sz="8" w:space="0" w:color="auto"/>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b/>
                <w:bCs/>
                <w:szCs w:val="28"/>
              </w:rPr>
              <w:t>Mức nộp (%)</w:t>
            </w:r>
          </w:p>
        </w:tc>
      </w:tr>
      <w:tr w:rsidR="009747B6" w:rsidRPr="009747B6" w:rsidTr="009747B6">
        <w:trPr>
          <w:trHeight w:val="20"/>
          <w:tblCellSpacing w:w="0" w:type="dxa"/>
        </w:trPr>
        <w:tc>
          <w:tcPr>
            <w:tcW w:w="967"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1</w:t>
            </w:r>
          </w:p>
        </w:tc>
        <w:tc>
          <w:tcPr>
            <w:tcW w:w="498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left"/>
              <w:rPr>
                <w:rFonts w:eastAsia="Times New Roman" w:cs="Times New Roman"/>
                <w:szCs w:val="28"/>
              </w:rPr>
            </w:pPr>
            <w:r w:rsidRPr="009747B6">
              <w:rPr>
                <w:rFonts w:eastAsia="Times New Roman" w:cs="Times New Roman"/>
                <w:szCs w:val="28"/>
              </w:rPr>
              <w:t>Từ 450 tỷ đồng đến 500 tỷ đồng</w:t>
            </w:r>
          </w:p>
        </w:tc>
        <w:tc>
          <w:tcPr>
            <w:tcW w:w="2944"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5</w:t>
            </w:r>
          </w:p>
        </w:tc>
      </w:tr>
      <w:tr w:rsidR="009747B6" w:rsidRPr="009747B6" w:rsidTr="009747B6">
        <w:trPr>
          <w:trHeight w:val="20"/>
          <w:tblCellSpacing w:w="0" w:type="dxa"/>
        </w:trPr>
        <w:tc>
          <w:tcPr>
            <w:tcW w:w="967"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2</w:t>
            </w:r>
          </w:p>
        </w:tc>
        <w:tc>
          <w:tcPr>
            <w:tcW w:w="498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left"/>
              <w:rPr>
                <w:rFonts w:eastAsia="Times New Roman" w:cs="Times New Roman"/>
                <w:szCs w:val="28"/>
              </w:rPr>
            </w:pPr>
            <w:r w:rsidRPr="009747B6">
              <w:rPr>
                <w:rFonts w:eastAsia="Times New Roman" w:cs="Times New Roman"/>
                <w:szCs w:val="28"/>
              </w:rPr>
              <w:t>Từ 400 tỷ đồng đến dưới 450 tỷ đồng</w:t>
            </w:r>
          </w:p>
        </w:tc>
        <w:tc>
          <w:tcPr>
            <w:tcW w:w="2944"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4,5</w:t>
            </w:r>
          </w:p>
        </w:tc>
      </w:tr>
      <w:tr w:rsidR="009747B6" w:rsidRPr="009747B6" w:rsidTr="009747B6">
        <w:trPr>
          <w:trHeight w:val="20"/>
          <w:tblCellSpacing w:w="0" w:type="dxa"/>
        </w:trPr>
        <w:tc>
          <w:tcPr>
            <w:tcW w:w="967"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3</w:t>
            </w:r>
          </w:p>
        </w:tc>
        <w:tc>
          <w:tcPr>
            <w:tcW w:w="498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left"/>
              <w:rPr>
                <w:rFonts w:eastAsia="Times New Roman" w:cs="Times New Roman"/>
                <w:szCs w:val="28"/>
              </w:rPr>
            </w:pPr>
            <w:r w:rsidRPr="009747B6">
              <w:rPr>
                <w:rFonts w:eastAsia="Times New Roman" w:cs="Times New Roman"/>
                <w:szCs w:val="28"/>
              </w:rPr>
              <w:t>Từ 350 tỷ đồng đến dưới 400 tỷ đồng</w:t>
            </w:r>
          </w:p>
        </w:tc>
        <w:tc>
          <w:tcPr>
            <w:tcW w:w="2944"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4</w:t>
            </w:r>
          </w:p>
        </w:tc>
      </w:tr>
      <w:tr w:rsidR="009747B6" w:rsidRPr="009747B6" w:rsidTr="009747B6">
        <w:trPr>
          <w:trHeight w:val="20"/>
          <w:tblCellSpacing w:w="0" w:type="dxa"/>
        </w:trPr>
        <w:tc>
          <w:tcPr>
            <w:tcW w:w="967"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4</w:t>
            </w:r>
          </w:p>
        </w:tc>
        <w:tc>
          <w:tcPr>
            <w:tcW w:w="498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left"/>
              <w:rPr>
                <w:rFonts w:eastAsia="Times New Roman" w:cs="Times New Roman"/>
                <w:szCs w:val="28"/>
              </w:rPr>
            </w:pPr>
            <w:r w:rsidRPr="009747B6">
              <w:rPr>
                <w:rFonts w:eastAsia="Times New Roman" w:cs="Times New Roman"/>
                <w:szCs w:val="28"/>
              </w:rPr>
              <w:t>Từ 300 tỷ đồng đến dưới 350 tỷ đồng</w:t>
            </w:r>
          </w:p>
        </w:tc>
        <w:tc>
          <w:tcPr>
            <w:tcW w:w="2944"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3,5</w:t>
            </w:r>
          </w:p>
        </w:tc>
      </w:tr>
      <w:tr w:rsidR="009747B6" w:rsidRPr="009747B6" w:rsidTr="009747B6">
        <w:trPr>
          <w:trHeight w:val="20"/>
          <w:tblCellSpacing w:w="0" w:type="dxa"/>
        </w:trPr>
        <w:tc>
          <w:tcPr>
            <w:tcW w:w="967"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5</w:t>
            </w:r>
          </w:p>
        </w:tc>
        <w:tc>
          <w:tcPr>
            <w:tcW w:w="498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left"/>
              <w:rPr>
                <w:rFonts w:eastAsia="Times New Roman" w:cs="Times New Roman"/>
                <w:szCs w:val="28"/>
              </w:rPr>
            </w:pPr>
            <w:r w:rsidRPr="009747B6">
              <w:rPr>
                <w:rFonts w:eastAsia="Times New Roman" w:cs="Times New Roman"/>
                <w:szCs w:val="28"/>
              </w:rPr>
              <w:t>Từ 250 tỷ đồng đến dưới 300 tỷ đồng</w:t>
            </w:r>
          </w:p>
        </w:tc>
        <w:tc>
          <w:tcPr>
            <w:tcW w:w="2944"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3</w:t>
            </w:r>
          </w:p>
        </w:tc>
      </w:tr>
      <w:tr w:rsidR="009747B6" w:rsidRPr="009747B6" w:rsidTr="009747B6">
        <w:trPr>
          <w:trHeight w:val="20"/>
          <w:tblCellSpacing w:w="0" w:type="dxa"/>
        </w:trPr>
        <w:tc>
          <w:tcPr>
            <w:tcW w:w="967"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6</w:t>
            </w:r>
          </w:p>
        </w:tc>
        <w:tc>
          <w:tcPr>
            <w:tcW w:w="498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left"/>
              <w:rPr>
                <w:rFonts w:eastAsia="Times New Roman" w:cs="Times New Roman"/>
                <w:szCs w:val="28"/>
              </w:rPr>
            </w:pPr>
            <w:r w:rsidRPr="009747B6">
              <w:rPr>
                <w:rFonts w:eastAsia="Times New Roman" w:cs="Times New Roman"/>
                <w:szCs w:val="28"/>
              </w:rPr>
              <w:t>Từ 200 tỷ đồng đến dưới 250 tỷ đồng</w:t>
            </w:r>
          </w:p>
        </w:tc>
        <w:tc>
          <w:tcPr>
            <w:tcW w:w="2944"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2,5</w:t>
            </w:r>
          </w:p>
        </w:tc>
      </w:tr>
      <w:tr w:rsidR="009747B6" w:rsidRPr="009747B6" w:rsidTr="009747B6">
        <w:trPr>
          <w:trHeight w:val="20"/>
          <w:tblCellSpacing w:w="0" w:type="dxa"/>
        </w:trPr>
        <w:tc>
          <w:tcPr>
            <w:tcW w:w="967"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7</w:t>
            </w:r>
          </w:p>
        </w:tc>
        <w:tc>
          <w:tcPr>
            <w:tcW w:w="498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left"/>
              <w:rPr>
                <w:rFonts w:eastAsia="Times New Roman" w:cs="Times New Roman"/>
                <w:szCs w:val="28"/>
              </w:rPr>
            </w:pPr>
            <w:r w:rsidRPr="009747B6">
              <w:rPr>
                <w:rFonts w:eastAsia="Times New Roman" w:cs="Times New Roman"/>
                <w:szCs w:val="28"/>
              </w:rPr>
              <w:t>Từ 150 tỷ đồng đến dưới 200 tỷ đồng</w:t>
            </w:r>
          </w:p>
        </w:tc>
        <w:tc>
          <w:tcPr>
            <w:tcW w:w="2944"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2</w:t>
            </w:r>
          </w:p>
        </w:tc>
      </w:tr>
      <w:tr w:rsidR="009747B6" w:rsidRPr="009747B6" w:rsidTr="009747B6">
        <w:trPr>
          <w:trHeight w:val="20"/>
          <w:tblCellSpacing w:w="0" w:type="dxa"/>
        </w:trPr>
        <w:tc>
          <w:tcPr>
            <w:tcW w:w="967"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8</w:t>
            </w:r>
          </w:p>
        </w:tc>
        <w:tc>
          <w:tcPr>
            <w:tcW w:w="498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left"/>
              <w:rPr>
                <w:rFonts w:eastAsia="Times New Roman" w:cs="Times New Roman"/>
                <w:szCs w:val="28"/>
              </w:rPr>
            </w:pPr>
            <w:r w:rsidRPr="009747B6">
              <w:rPr>
                <w:rFonts w:eastAsia="Times New Roman" w:cs="Times New Roman"/>
                <w:szCs w:val="28"/>
              </w:rPr>
              <w:t>Từ 100 tỷ đồng đến dưới 150 tỷ đồng</w:t>
            </w:r>
          </w:p>
        </w:tc>
        <w:tc>
          <w:tcPr>
            <w:tcW w:w="2944"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1,5</w:t>
            </w:r>
          </w:p>
        </w:tc>
      </w:tr>
      <w:tr w:rsidR="009747B6" w:rsidRPr="009747B6" w:rsidTr="009747B6">
        <w:trPr>
          <w:trHeight w:val="20"/>
          <w:tblCellSpacing w:w="0" w:type="dxa"/>
        </w:trPr>
        <w:tc>
          <w:tcPr>
            <w:tcW w:w="967"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9</w:t>
            </w:r>
          </w:p>
        </w:tc>
        <w:tc>
          <w:tcPr>
            <w:tcW w:w="498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left"/>
              <w:rPr>
                <w:rFonts w:eastAsia="Times New Roman" w:cs="Times New Roman"/>
                <w:szCs w:val="28"/>
              </w:rPr>
            </w:pPr>
            <w:r w:rsidRPr="009747B6">
              <w:rPr>
                <w:rFonts w:eastAsia="Times New Roman" w:cs="Times New Roman"/>
                <w:szCs w:val="28"/>
              </w:rPr>
              <w:t>Từ 50 tỷ đồng đến dưới 100 tỷ đồng</w:t>
            </w:r>
          </w:p>
        </w:tc>
        <w:tc>
          <w:tcPr>
            <w:tcW w:w="2944"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1</w:t>
            </w:r>
          </w:p>
        </w:tc>
      </w:tr>
      <w:tr w:rsidR="009747B6" w:rsidRPr="009747B6" w:rsidTr="009747B6">
        <w:trPr>
          <w:trHeight w:val="20"/>
          <w:tblCellSpacing w:w="0" w:type="dxa"/>
        </w:trPr>
        <w:tc>
          <w:tcPr>
            <w:tcW w:w="967"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10</w:t>
            </w:r>
          </w:p>
        </w:tc>
        <w:tc>
          <w:tcPr>
            <w:tcW w:w="498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left"/>
              <w:rPr>
                <w:rFonts w:eastAsia="Times New Roman" w:cs="Times New Roman"/>
                <w:szCs w:val="28"/>
              </w:rPr>
            </w:pPr>
            <w:r w:rsidRPr="009747B6">
              <w:rPr>
                <w:rFonts w:eastAsia="Times New Roman" w:cs="Times New Roman"/>
                <w:szCs w:val="28"/>
              </w:rPr>
              <w:t>Dưới 50 tỷ đồng</w:t>
            </w:r>
          </w:p>
        </w:tc>
        <w:tc>
          <w:tcPr>
            <w:tcW w:w="2944"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747B6" w:rsidRPr="009747B6" w:rsidRDefault="009747B6" w:rsidP="009747B6">
            <w:pPr>
              <w:spacing w:before="120" w:after="0" w:line="20" w:lineRule="atLeast"/>
              <w:jc w:val="center"/>
              <w:rPr>
                <w:rFonts w:eastAsia="Times New Roman" w:cs="Times New Roman"/>
                <w:szCs w:val="28"/>
              </w:rPr>
            </w:pPr>
            <w:r w:rsidRPr="009747B6">
              <w:rPr>
                <w:rFonts w:eastAsia="Times New Roman" w:cs="Times New Roman"/>
                <w:szCs w:val="28"/>
              </w:rPr>
              <w:t>0,5</w:t>
            </w:r>
          </w:p>
        </w:tc>
      </w:tr>
    </w:tbl>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a.2- Số thu trên 500 tỷ đồng.</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Ngoài kinh phí nộp theo mức 1 của bảng trên. Đơn vị có số thu trên 500 tỷ đồng trở lên, mức nộp về Tổng Liên đoàn là 5,5%.</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Trong năm nộp theo dự toán, khi có báo cáo quyết toán nộp theo số thu quyết toán.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Đoàn Chủ tịch Tổng Liên đoàn xem xét, điều chỉnh mức nộp đối với các đơn vị không thực hiện được mức nộp theo quy định trên khi giao dự toán hàng năm.</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b- Đơn vị tự cân đối thu, chi.</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 xml:space="preserve">Các đơn vị có số thu kinh phí và đoàn phí công đoàn về cấp trên cân đối thu, chi hoặc chênh lệch từ 10% trở xuống so với số chi (bao gồm cả công đoàn cấp trên </w:t>
      </w:r>
      <w:r w:rsidRPr="009747B6">
        <w:rPr>
          <w:rFonts w:eastAsia="Times New Roman" w:cs="Times New Roman"/>
          <w:szCs w:val="28"/>
        </w:rPr>
        <w:lastRenderedPageBreak/>
        <w:t>trực tiếp cơ sở, Liên đoàn lao động cấp tỉnh, thành phố và tương đương) tính theo định mức chi Tổng Liên đoàn thông báo hàng năm được cân đối thu, chi.</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c- Đơn vị được cấp hỗ trợ.</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Các đơn vị có số thu kinh phí và đoàn phí công đoàn về cấp trên không cân đối được thu, chi tính theo định mức cán bộ công đoàn chuyên trách, định mức chi, hệ số điều chỉnh đối với các tỉnh miền núi, vùng sâu, vùng xa do Tổng Liên đoàn thông báo hàng năm, được cấp hỗ trợ phần chênh lệch.</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Trường hợp số cán bộ chuyên trách công đoàn cấp trên cơ sở tính theo định mức và hệ số điều chỉnh nêu trên cao hơn số cán bộ công đoàn chuyên trách do Tổng Liên đoàn thông báo thì lấy số cán bộ công đoàn chuyên trách Tổng Liên đoàn thông báo làm căn cứ tính cấp hỗ trợ.</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Đối với các đơn vị không cân đối được thu, chi phải hỗ trợ ngoài quy định trên, Đoàn Chủ tịch Tổng Liên đoàn xem xét, quyết định.</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d- Sử dụng số thu của Tổng Liên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Số thu của Tổng Liên đoàn được sử dụng để cấp cho Văn phòng Tổng Liên đoàn, các đơn vị trực thuộc Tổng Liên đoàn; cấp hỗ trợ cho các đơn vị theo quy định trên; dự phòng của Tổng Liên đoàn và hỗ trợ khác cho các đơn vị theo quyết định của Thường trực Đoàn Chủ tịch Tổng Liên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Chương 4.</w:t>
      </w:r>
    </w:p>
    <w:p w:rsidR="009747B6" w:rsidRPr="009747B6" w:rsidRDefault="009747B6" w:rsidP="009747B6">
      <w:pPr>
        <w:shd w:val="clear" w:color="auto" w:fill="FFFFFF"/>
        <w:spacing w:before="120" w:after="0" w:line="234" w:lineRule="atLeast"/>
        <w:jc w:val="center"/>
        <w:rPr>
          <w:rFonts w:eastAsia="Times New Roman" w:cs="Times New Roman"/>
          <w:szCs w:val="28"/>
        </w:rPr>
      </w:pPr>
      <w:r w:rsidRPr="009747B6">
        <w:rPr>
          <w:rFonts w:eastAsia="Times New Roman" w:cs="Times New Roman"/>
          <w:b/>
          <w:bCs/>
          <w:szCs w:val="28"/>
        </w:rPr>
        <w:t>TỔ CHỨC THỰC HIỆN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Điều 8. Trách nhiệm của Tổng Liên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1- Ban hành quy định về nguyên tắc xây dựng dự toán, chỉ tiêu thu, nộp, định mức chi, định mức cán bộ công đoàn chuyên trách làm cơ sở giao dự toán hàng năm.</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2- Kiểm tra việc đóng kinh phí công đoàn của các cơ quan, tổ chức, doanh nghiệp. Kiểm tra thu, phân phối, sử dụng, quản lý tài chính công đoàn của các cấp công đoàn theo quy định của pháp luật và của Tổng Liên đoàn.</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b/>
          <w:bCs/>
          <w:szCs w:val="28"/>
        </w:rPr>
        <w:t>Điều 9. Trách nhiệm của Liên đoàn Lao động cấp tỉnh, thành phố và tương đương.</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1- Phối hợp với Kho bạc Nhà nước tỉnh, quận, huyện, thị xã, thành phố thuộc tỉnh thu kinh phí công đoàn của đơn vị hành chính sự nghiệp do ngân sách nhà nước cấp một phần hoặc toàn bộ kinh phí hoạt động.</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2- Ban hành Quy định phân cấp thu, phân phối nguồn thu tài chính của công đoàn cấp mình và công đoàn cấp trên trực tiếp cơ sở; Quy định về nguyên tắc xây dựng dự toán, định mức chi, chỉ tiêu thu, nộp, cấp hỗ trợ làm cơ sở giao dự toán hàng năm cho công đoàn cấp trên trực tiếp cơ sở.</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lastRenderedPageBreak/>
        <w:t>3- Ban hành quy định về chế độ, định mức chi cho hoạt động công đoàn và hoạt động bảo vệ, chăm lo cho người lao động, quản lý, thanh quyết toán thu, chi nguồn kinh phí công đoàn đối với cơ quan, tổ chức, doanh nghiệp chưa thành lập công đoàn cơ sở.</w:t>
      </w:r>
    </w:p>
    <w:p w:rsidR="009747B6" w:rsidRPr="009747B6" w:rsidRDefault="009747B6" w:rsidP="009747B6">
      <w:pPr>
        <w:shd w:val="clear" w:color="auto" w:fill="FFFFFF"/>
        <w:spacing w:before="120" w:after="0" w:line="234" w:lineRule="atLeast"/>
        <w:jc w:val="left"/>
        <w:rPr>
          <w:rFonts w:eastAsia="Times New Roman" w:cs="Times New Roman"/>
          <w:szCs w:val="28"/>
        </w:rPr>
      </w:pPr>
      <w:r w:rsidRPr="009747B6">
        <w:rPr>
          <w:rFonts w:eastAsia="Times New Roman" w:cs="Times New Roman"/>
          <w:szCs w:val="28"/>
        </w:rPr>
        <w:t>4- Phối hợp với các cơ quan Tài chính, Thuế, Thanh tra cùng cấp tổ chức thanh tra, kiểm tra việc đóng kinh phí công đoàn của các cơ quan, tổ chức, doanh nghiệp. Kiến nghị xử phạt hành chính hoặc khởi kiện đối với các cơ quan, tổ chức, doanh nghiệp vi phạm quy định về đóng kinh phí công đoàn theo Luật Công đoàn năm 2012 và Nghị định của Chính phủ quy định chi tiết về tài chính công đoàn. Kiểm tra thu, phân phối, sử dụng, quản lý tài chính công đoàn theo quy định của pháp luật và của Tổng Liên đoàn đối với các đơn vị cấp dưới./.</w:t>
      </w:r>
    </w:p>
    <w:p w:rsidR="009A10EC" w:rsidRPr="009747B6" w:rsidRDefault="009A10EC" w:rsidP="009747B6">
      <w:pPr>
        <w:rPr>
          <w:rFonts w:cs="Times New Roman"/>
          <w:szCs w:val="28"/>
        </w:rPr>
      </w:pPr>
    </w:p>
    <w:sectPr w:rsidR="009A10EC" w:rsidRPr="009747B6"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25F"/>
    <w:rsid w:val="00016974"/>
    <w:rsid w:val="00050806"/>
    <w:rsid w:val="00067C4C"/>
    <w:rsid w:val="00097A98"/>
    <w:rsid w:val="000A02A1"/>
    <w:rsid w:val="000A2B4C"/>
    <w:rsid w:val="000B1F4C"/>
    <w:rsid w:val="000C34E7"/>
    <w:rsid w:val="000D3190"/>
    <w:rsid w:val="000D7E35"/>
    <w:rsid w:val="00101BD6"/>
    <w:rsid w:val="00105741"/>
    <w:rsid w:val="00114751"/>
    <w:rsid w:val="00125539"/>
    <w:rsid w:val="00147B3C"/>
    <w:rsid w:val="001536B8"/>
    <w:rsid w:val="0017001C"/>
    <w:rsid w:val="00191D36"/>
    <w:rsid w:val="00193848"/>
    <w:rsid w:val="001B4541"/>
    <w:rsid w:val="001B6BC0"/>
    <w:rsid w:val="001C5724"/>
    <w:rsid w:val="001F3BB2"/>
    <w:rsid w:val="001F400C"/>
    <w:rsid w:val="002223B5"/>
    <w:rsid w:val="00222FBE"/>
    <w:rsid w:val="00242702"/>
    <w:rsid w:val="00262F83"/>
    <w:rsid w:val="00271531"/>
    <w:rsid w:val="002761C8"/>
    <w:rsid w:val="0027744C"/>
    <w:rsid w:val="00287B55"/>
    <w:rsid w:val="002A739C"/>
    <w:rsid w:val="002B1462"/>
    <w:rsid w:val="002C00B1"/>
    <w:rsid w:val="002E65A8"/>
    <w:rsid w:val="002F00B2"/>
    <w:rsid w:val="002F4DD7"/>
    <w:rsid w:val="003031D8"/>
    <w:rsid w:val="00316D92"/>
    <w:rsid w:val="003176EC"/>
    <w:rsid w:val="0033475E"/>
    <w:rsid w:val="00334B1C"/>
    <w:rsid w:val="00341BF1"/>
    <w:rsid w:val="0034430B"/>
    <w:rsid w:val="00355634"/>
    <w:rsid w:val="00365E6E"/>
    <w:rsid w:val="00373A73"/>
    <w:rsid w:val="003C63F4"/>
    <w:rsid w:val="003D35C5"/>
    <w:rsid w:val="003E4ABD"/>
    <w:rsid w:val="003F4E83"/>
    <w:rsid w:val="004040B5"/>
    <w:rsid w:val="00425A6C"/>
    <w:rsid w:val="0043137C"/>
    <w:rsid w:val="00433AF1"/>
    <w:rsid w:val="00433CDB"/>
    <w:rsid w:val="00440EDD"/>
    <w:rsid w:val="00444ACD"/>
    <w:rsid w:val="00447E67"/>
    <w:rsid w:val="00453C42"/>
    <w:rsid w:val="00476499"/>
    <w:rsid w:val="00482515"/>
    <w:rsid w:val="004838E9"/>
    <w:rsid w:val="00497E42"/>
    <w:rsid w:val="004A659A"/>
    <w:rsid w:val="004B1443"/>
    <w:rsid w:val="004B14BF"/>
    <w:rsid w:val="004B21EE"/>
    <w:rsid w:val="004B74F1"/>
    <w:rsid w:val="004C0DCC"/>
    <w:rsid w:val="004D016A"/>
    <w:rsid w:val="004E226D"/>
    <w:rsid w:val="004E73CD"/>
    <w:rsid w:val="004F08E6"/>
    <w:rsid w:val="00511DD0"/>
    <w:rsid w:val="00514262"/>
    <w:rsid w:val="005328B5"/>
    <w:rsid w:val="00533F2F"/>
    <w:rsid w:val="00535901"/>
    <w:rsid w:val="005373D0"/>
    <w:rsid w:val="0054100D"/>
    <w:rsid w:val="00584AEE"/>
    <w:rsid w:val="005B3F5A"/>
    <w:rsid w:val="005D1A95"/>
    <w:rsid w:val="005E2FCF"/>
    <w:rsid w:val="005E666D"/>
    <w:rsid w:val="005F217D"/>
    <w:rsid w:val="0060583C"/>
    <w:rsid w:val="0061081D"/>
    <w:rsid w:val="006265D0"/>
    <w:rsid w:val="00682271"/>
    <w:rsid w:val="006A0DA4"/>
    <w:rsid w:val="006A67AC"/>
    <w:rsid w:val="006B2131"/>
    <w:rsid w:val="006E0F6A"/>
    <w:rsid w:val="006E7466"/>
    <w:rsid w:val="006F6481"/>
    <w:rsid w:val="007233A7"/>
    <w:rsid w:val="00727F6B"/>
    <w:rsid w:val="007467AE"/>
    <w:rsid w:val="00751864"/>
    <w:rsid w:val="0076410C"/>
    <w:rsid w:val="00775623"/>
    <w:rsid w:val="00780398"/>
    <w:rsid w:val="00781CA9"/>
    <w:rsid w:val="007B38E9"/>
    <w:rsid w:val="007E0CCE"/>
    <w:rsid w:val="007F1C0A"/>
    <w:rsid w:val="00806AFF"/>
    <w:rsid w:val="00813E40"/>
    <w:rsid w:val="00823922"/>
    <w:rsid w:val="0082631E"/>
    <w:rsid w:val="00827A19"/>
    <w:rsid w:val="00837133"/>
    <w:rsid w:val="00842776"/>
    <w:rsid w:val="008502AE"/>
    <w:rsid w:val="00850432"/>
    <w:rsid w:val="0086085F"/>
    <w:rsid w:val="00860EE3"/>
    <w:rsid w:val="008B07D0"/>
    <w:rsid w:val="008B5097"/>
    <w:rsid w:val="008C7528"/>
    <w:rsid w:val="008D34EA"/>
    <w:rsid w:val="008D4E51"/>
    <w:rsid w:val="008E217E"/>
    <w:rsid w:val="008F1D41"/>
    <w:rsid w:val="008F53E5"/>
    <w:rsid w:val="00903F67"/>
    <w:rsid w:val="0090439D"/>
    <w:rsid w:val="0092356E"/>
    <w:rsid w:val="00927173"/>
    <w:rsid w:val="009377CE"/>
    <w:rsid w:val="0094051E"/>
    <w:rsid w:val="009421BA"/>
    <w:rsid w:val="00951028"/>
    <w:rsid w:val="00953671"/>
    <w:rsid w:val="00963388"/>
    <w:rsid w:val="00966D7E"/>
    <w:rsid w:val="00966DDB"/>
    <w:rsid w:val="00967DF1"/>
    <w:rsid w:val="009722AC"/>
    <w:rsid w:val="009747B6"/>
    <w:rsid w:val="0097542F"/>
    <w:rsid w:val="009A10EC"/>
    <w:rsid w:val="009C4D33"/>
    <w:rsid w:val="009D0485"/>
    <w:rsid w:val="009D2DFE"/>
    <w:rsid w:val="009D3AE0"/>
    <w:rsid w:val="009D5130"/>
    <w:rsid w:val="009E6617"/>
    <w:rsid w:val="009F0C7D"/>
    <w:rsid w:val="00A21A5E"/>
    <w:rsid w:val="00A21E74"/>
    <w:rsid w:val="00A23384"/>
    <w:rsid w:val="00A269E0"/>
    <w:rsid w:val="00A41F4E"/>
    <w:rsid w:val="00A43E9D"/>
    <w:rsid w:val="00A462A4"/>
    <w:rsid w:val="00A46F6C"/>
    <w:rsid w:val="00A55510"/>
    <w:rsid w:val="00A72FE4"/>
    <w:rsid w:val="00A74F42"/>
    <w:rsid w:val="00AA4338"/>
    <w:rsid w:val="00AB43BB"/>
    <w:rsid w:val="00AB66B4"/>
    <w:rsid w:val="00AC36F3"/>
    <w:rsid w:val="00AC507C"/>
    <w:rsid w:val="00AC6D42"/>
    <w:rsid w:val="00AC7E43"/>
    <w:rsid w:val="00AD164C"/>
    <w:rsid w:val="00AE44DD"/>
    <w:rsid w:val="00B0091B"/>
    <w:rsid w:val="00B02EDD"/>
    <w:rsid w:val="00B17A5D"/>
    <w:rsid w:val="00B40EE1"/>
    <w:rsid w:val="00B415B9"/>
    <w:rsid w:val="00B451CC"/>
    <w:rsid w:val="00B62DBC"/>
    <w:rsid w:val="00B70F51"/>
    <w:rsid w:val="00B877C9"/>
    <w:rsid w:val="00B965AA"/>
    <w:rsid w:val="00B96877"/>
    <w:rsid w:val="00BA075D"/>
    <w:rsid w:val="00BA48F8"/>
    <w:rsid w:val="00BA687A"/>
    <w:rsid w:val="00BB044B"/>
    <w:rsid w:val="00BB225F"/>
    <w:rsid w:val="00BB444D"/>
    <w:rsid w:val="00BC415A"/>
    <w:rsid w:val="00BE1BCB"/>
    <w:rsid w:val="00BF223F"/>
    <w:rsid w:val="00C052B4"/>
    <w:rsid w:val="00C05A3F"/>
    <w:rsid w:val="00C12836"/>
    <w:rsid w:val="00C14261"/>
    <w:rsid w:val="00C218A0"/>
    <w:rsid w:val="00C24B97"/>
    <w:rsid w:val="00C27D4F"/>
    <w:rsid w:val="00C42C27"/>
    <w:rsid w:val="00C44831"/>
    <w:rsid w:val="00C450A3"/>
    <w:rsid w:val="00C46D1E"/>
    <w:rsid w:val="00C549F0"/>
    <w:rsid w:val="00C63D9C"/>
    <w:rsid w:val="00C77E41"/>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12AD1"/>
    <w:rsid w:val="00D44CF0"/>
    <w:rsid w:val="00D52B1F"/>
    <w:rsid w:val="00D74FBA"/>
    <w:rsid w:val="00D92BB1"/>
    <w:rsid w:val="00DB10E6"/>
    <w:rsid w:val="00DB322D"/>
    <w:rsid w:val="00DB33B5"/>
    <w:rsid w:val="00DB37FF"/>
    <w:rsid w:val="00DC3796"/>
    <w:rsid w:val="00DC7C88"/>
    <w:rsid w:val="00DD204E"/>
    <w:rsid w:val="00DE0BB1"/>
    <w:rsid w:val="00DF6414"/>
    <w:rsid w:val="00E107A9"/>
    <w:rsid w:val="00E173D5"/>
    <w:rsid w:val="00E273A1"/>
    <w:rsid w:val="00E3605A"/>
    <w:rsid w:val="00E45F94"/>
    <w:rsid w:val="00E6238A"/>
    <w:rsid w:val="00E71641"/>
    <w:rsid w:val="00E8410A"/>
    <w:rsid w:val="00E86CDC"/>
    <w:rsid w:val="00E911F3"/>
    <w:rsid w:val="00EA1FF3"/>
    <w:rsid w:val="00EC1BFB"/>
    <w:rsid w:val="00ED0F4E"/>
    <w:rsid w:val="00EE3F01"/>
    <w:rsid w:val="00EE56EA"/>
    <w:rsid w:val="00F07393"/>
    <w:rsid w:val="00F42662"/>
    <w:rsid w:val="00F42C74"/>
    <w:rsid w:val="00F448A2"/>
    <w:rsid w:val="00F52C8F"/>
    <w:rsid w:val="00F56E27"/>
    <w:rsid w:val="00F66F6E"/>
    <w:rsid w:val="00FA53EF"/>
    <w:rsid w:val="00FC4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25F"/>
    <w:pPr>
      <w:spacing w:before="100" w:beforeAutospacing="1" w:after="100" w:afterAutospacing="1" w:line="240" w:lineRule="auto"/>
      <w:jc w:val="left"/>
    </w:pPr>
    <w:rPr>
      <w:rFonts w:eastAsia="Times New Roman" w:cs="Times New Roman"/>
      <w:sz w:val="24"/>
      <w:szCs w:val="24"/>
    </w:rPr>
  </w:style>
  <w:style w:type="character" w:customStyle="1" w:styleId="apple-converted-space">
    <w:name w:val="apple-converted-space"/>
    <w:basedOn w:val="DefaultParagraphFont"/>
    <w:rsid w:val="00BB225F"/>
  </w:style>
  <w:style w:type="character" w:styleId="Hyperlink">
    <w:name w:val="Hyperlink"/>
    <w:basedOn w:val="DefaultParagraphFont"/>
    <w:uiPriority w:val="99"/>
    <w:semiHidden/>
    <w:unhideWhenUsed/>
    <w:rsid w:val="00BB225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25F"/>
    <w:pPr>
      <w:spacing w:before="100" w:beforeAutospacing="1" w:after="100" w:afterAutospacing="1" w:line="240" w:lineRule="auto"/>
      <w:jc w:val="left"/>
    </w:pPr>
    <w:rPr>
      <w:rFonts w:eastAsia="Times New Roman" w:cs="Times New Roman"/>
      <w:sz w:val="24"/>
      <w:szCs w:val="24"/>
    </w:rPr>
  </w:style>
  <w:style w:type="character" w:customStyle="1" w:styleId="apple-converted-space">
    <w:name w:val="apple-converted-space"/>
    <w:basedOn w:val="DefaultParagraphFont"/>
    <w:rsid w:val="00BB225F"/>
  </w:style>
  <w:style w:type="character" w:styleId="Hyperlink">
    <w:name w:val="Hyperlink"/>
    <w:basedOn w:val="DefaultParagraphFont"/>
    <w:uiPriority w:val="99"/>
    <w:semiHidden/>
    <w:unhideWhenUsed/>
    <w:rsid w:val="00BB225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999727">
      <w:bodyDiv w:val="1"/>
      <w:marLeft w:val="0"/>
      <w:marRight w:val="0"/>
      <w:marTop w:val="0"/>
      <w:marBottom w:val="0"/>
      <w:divBdr>
        <w:top w:val="none" w:sz="0" w:space="0" w:color="auto"/>
        <w:left w:val="none" w:sz="0" w:space="0" w:color="auto"/>
        <w:bottom w:val="none" w:sz="0" w:space="0" w:color="auto"/>
        <w:right w:val="none" w:sz="0" w:space="0" w:color="auto"/>
      </w:divBdr>
    </w:div>
    <w:div w:id="433090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uvienphapluat.vn/phap-luat/tim-van-ban.aspx?keyword=258/HD-TL%C4%90&amp;area=2&amp;type=0&amp;match=False&amp;vc=True&amp;lan=1" TargetMode="External"/><Relationship Id="rId3" Type="http://schemas.openxmlformats.org/officeDocument/2006/relationships/settings" Target="settings.xml"/><Relationship Id="rId7" Type="http://schemas.openxmlformats.org/officeDocument/2006/relationships/hyperlink" Target="http://thuvienphapluat.vn/phap-luat/tim-van-ban.aspx?keyword=191/2013/N%C4%90-CP&amp;area=2&amp;type=0&amp;match=False&amp;vc=True&amp;lan=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huvienphapluat.vn/phap-luat/tim-van-ban.aspx?keyword=1935/Q%C4%90-TL%C4%90&amp;area=2&amp;type=0&amp;match=False&amp;vc=True&amp;lan=1" TargetMode="External"/><Relationship Id="rId5" Type="http://schemas.openxmlformats.org/officeDocument/2006/relationships/hyperlink" Target="http://thuvienphapluat.vn/phap-luat/tim-van-ban.aspx?keyword=191/2013/N%C4%90-CP&amp;area=2&amp;type=0&amp;match=False&amp;vc=True&amp;lan=1"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7</Pages>
  <Words>2017</Words>
  <Characters>11501</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2015-11-16T09:34:00Z</dcterms:created>
  <dcterms:modified xsi:type="dcterms:W3CDTF">2015-11-16T10:06:00Z</dcterms:modified>
</cp:coreProperties>
</file>